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7C398" w14:textId="14178B29" w:rsidR="00A91CF2" w:rsidRPr="002378B4" w:rsidRDefault="000D7EB4">
      <w:pPr>
        <w:rPr>
          <w:b/>
          <w:bCs/>
          <w:sz w:val="28"/>
          <w:szCs w:val="28"/>
        </w:rPr>
      </w:pPr>
      <w:r>
        <w:rPr>
          <w:b/>
          <w:bCs/>
          <w:sz w:val="28"/>
          <w:szCs w:val="28"/>
        </w:rPr>
        <w:t>P</w:t>
      </w:r>
      <w:r w:rsidR="00A91CF2" w:rsidRPr="002378B4">
        <w:rPr>
          <w:b/>
          <w:bCs/>
          <w:sz w:val="28"/>
          <w:szCs w:val="28"/>
        </w:rPr>
        <w:t>olíticas contables</w:t>
      </w:r>
    </w:p>
    <w:p w14:paraId="3A2A6D53" w14:textId="1CFB70E3" w:rsidR="00340E92" w:rsidRDefault="00A91CF2">
      <w:r w:rsidRPr="00271DD1">
        <w:rPr>
          <w:sz w:val="24"/>
          <w:szCs w:val="24"/>
        </w:rPr>
        <w:t>Con base en el siguiente formato el estudiante elaborará la política</w:t>
      </w:r>
      <w:r w:rsidR="000B7FFD">
        <w:rPr>
          <w:sz w:val="24"/>
          <w:szCs w:val="24"/>
        </w:rPr>
        <w:t xml:space="preserve"> contable de los </w:t>
      </w:r>
      <w:r w:rsidRPr="00271DD1">
        <w:rPr>
          <w:sz w:val="24"/>
          <w:szCs w:val="24"/>
        </w:rPr>
        <w:t>Inventarios</w:t>
      </w:r>
      <w:r w:rsidR="002378B4" w:rsidRPr="00271DD1">
        <w:rPr>
          <w:sz w:val="24"/>
          <w:szCs w:val="24"/>
        </w:rPr>
        <w:t xml:space="preserve"> </w:t>
      </w:r>
      <w:r w:rsidR="000B7FFD">
        <w:rPr>
          <w:sz w:val="24"/>
          <w:szCs w:val="24"/>
        </w:rPr>
        <w:t>de la empresa</w:t>
      </w:r>
      <w:r w:rsidR="000B7FFD" w:rsidRPr="000B7FFD">
        <w:rPr>
          <w:rFonts w:ascii="Arial" w:eastAsia="Times New Roman" w:hAnsi="Arial" w:cs="Arial"/>
          <w:b/>
          <w:sz w:val="24"/>
          <w:szCs w:val="24"/>
          <w:lang w:eastAsia="es-MX"/>
        </w:rPr>
        <w:t xml:space="preserve"> </w:t>
      </w:r>
      <w:r w:rsidR="000B7FFD" w:rsidRPr="00BD39CB">
        <w:rPr>
          <w:rFonts w:ascii="Arial" w:eastAsia="Times New Roman" w:hAnsi="Arial" w:cs="Arial"/>
          <w:b/>
          <w:sz w:val="24"/>
          <w:szCs w:val="24"/>
          <w:lang w:eastAsia="es-MX"/>
        </w:rPr>
        <w:t>C</w:t>
      </w:r>
      <w:r w:rsidR="000B7FFD">
        <w:rPr>
          <w:rFonts w:ascii="Arial" w:eastAsia="Times New Roman" w:hAnsi="Arial" w:cs="Arial"/>
          <w:b/>
          <w:sz w:val="24"/>
          <w:szCs w:val="24"/>
          <w:lang w:eastAsia="es-MX"/>
        </w:rPr>
        <w:t>OMERCIAL SAS</w:t>
      </w:r>
      <w:r w:rsidR="00260EF4">
        <w:rPr>
          <w:rFonts w:ascii="Arial" w:eastAsia="Times New Roman" w:hAnsi="Arial" w:cs="Arial"/>
          <w:b/>
          <w:sz w:val="24"/>
          <w:szCs w:val="24"/>
          <w:lang w:eastAsia="es-MX"/>
        </w:rPr>
        <w:t xml:space="preserve">. </w:t>
      </w:r>
      <w:r w:rsidR="00260EF4" w:rsidRPr="00260EF4">
        <w:rPr>
          <w:sz w:val="24"/>
          <w:szCs w:val="24"/>
        </w:rPr>
        <w:t xml:space="preserve">La información concerniente a los inventarios </w:t>
      </w:r>
      <w:r w:rsidR="000B7FFD">
        <w:rPr>
          <w:sz w:val="24"/>
          <w:szCs w:val="24"/>
        </w:rPr>
        <w:t xml:space="preserve">se encuentra en la Sección 13 </w:t>
      </w:r>
      <w:r w:rsidR="002378B4" w:rsidRPr="00271DD1">
        <w:rPr>
          <w:sz w:val="24"/>
          <w:szCs w:val="24"/>
        </w:rPr>
        <w:t>de las NIIF para pymes</w:t>
      </w:r>
      <w:r w:rsidR="002378B4">
        <w:t>.</w:t>
      </w:r>
    </w:p>
    <w:tbl>
      <w:tblPr>
        <w:tblW w:w="8939" w:type="dxa"/>
        <w:jc w:val="center"/>
        <w:tblCellMar>
          <w:left w:w="70" w:type="dxa"/>
          <w:right w:w="70" w:type="dxa"/>
        </w:tblCellMar>
        <w:tblLook w:val="04A0" w:firstRow="1" w:lastRow="0" w:firstColumn="1" w:lastColumn="0" w:noHBand="0" w:noVBand="1"/>
      </w:tblPr>
      <w:tblGrid>
        <w:gridCol w:w="1199"/>
        <w:gridCol w:w="1074"/>
        <w:gridCol w:w="1074"/>
        <w:gridCol w:w="1020"/>
        <w:gridCol w:w="54"/>
        <w:gridCol w:w="1074"/>
        <w:gridCol w:w="1074"/>
        <w:gridCol w:w="1074"/>
        <w:gridCol w:w="1296"/>
      </w:tblGrid>
      <w:tr w:rsidR="00A91CF2" w:rsidRPr="00003AE9" w14:paraId="15E4C49A" w14:textId="77777777" w:rsidTr="00121148">
        <w:trPr>
          <w:trHeight w:val="293"/>
          <w:jc w:val="center"/>
        </w:trPr>
        <w:tc>
          <w:tcPr>
            <w:tcW w:w="8939" w:type="dxa"/>
            <w:gridSpan w:val="9"/>
            <w:tcBorders>
              <w:top w:val="single" w:sz="4" w:space="0" w:color="auto"/>
              <w:left w:val="single" w:sz="4" w:space="0" w:color="auto"/>
              <w:bottom w:val="nil"/>
              <w:right w:val="single" w:sz="4" w:space="0" w:color="auto"/>
            </w:tcBorders>
            <w:shd w:val="clear" w:color="auto" w:fill="auto"/>
            <w:noWrap/>
            <w:vAlign w:val="bottom"/>
            <w:hideMark/>
          </w:tcPr>
          <w:p w14:paraId="23B29AAE" w14:textId="5DE565BD" w:rsidR="00A91CF2" w:rsidRPr="00BD339B" w:rsidRDefault="00A91CF2" w:rsidP="00C05773">
            <w:pPr>
              <w:spacing w:after="0"/>
              <w:jc w:val="center"/>
              <w:rPr>
                <w:rFonts w:ascii="Arial Narrow" w:eastAsia="Times New Roman" w:hAnsi="Arial Narrow"/>
                <w:b/>
                <w:bCs/>
                <w:sz w:val="24"/>
                <w:szCs w:val="24"/>
                <w:lang w:eastAsia="es-MX"/>
              </w:rPr>
            </w:pPr>
            <w:r>
              <w:rPr>
                <w:rFonts w:ascii="Arial Narrow" w:eastAsia="Times New Roman" w:hAnsi="Arial Narrow"/>
                <w:b/>
                <w:sz w:val="24"/>
                <w:szCs w:val="24"/>
                <w:lang w:eastAsia="es-MX"/>
              </w:rPr>
              <w:t>COMERCIAL SAS</w:t>
            </w:r>
          </w:p>
        </w:tc>
      </w:tr>
      <w:tr w:rsidR="00A91CF2" w:rsidRPr="00003AE9" w14:paraId="1BCF43AE" w14:textId="77777777" w:rsidTr="00121148">
        <w:trPr>
          <w:trHeight w:val="293"/>
          <w:jc w:val="center"/>
        </w:trPr>
        <w:tc>
          <w:tcPr>
            <w:tcW w:w="8939" w:type="dxa"/>
            <w:gridSpan w:val="9"/>
            <w:tcBorders>
              <w:top w:val="nil"/>
              <w:left w:val="single" w:sz="4" w:space="0" w:color="auto"/>
              <w:bottom w:val="nil"/>
              <w:right w:val="single" w:sz="4" w:space="0" w:color="auto"/>
            </w:tcBorders>
            <w:shd w:val="clear" w:color="auto" w:fill="auto"/>
            <w:noWrap/>
            <w:vAlign w:val="bottom"/>
            <w:hideMark/>
          </w:tcPr>
          <w:p w14:paraId="0457150D" w14:textId="5CD38B13" w:rsidR="00A91CF2" w:rsidRPr="0067349E" w:rsidRDefault="00A91CF2" w:rsidP="00C05773">
            <w:pPr>
              <w:spacing w:after="0" w:line="240" w:lineRule="auto"/>
              <w:jc w:val="center"/>
              <w:rPr>
                <w:rFonts w:ascii="Arial Narrow" w:eastAsia="Times New Roman" w:hAnsi="Arial Narrow"/>
                <w:b/>
                <w:bCs/>
                <w:color w:val="000000"/>
                <w:sz w:val="24"/>
                <w:szCs w:val="24"/>
                <w:lang w:eastAsia="es-MX"/>
              </w:rPr>
            </w:pPr>
            <w:r w:rsidRPr="00BD339B">
              <w:rPr>
                <w:rFonts w:ascii="Arial Narrow" w:eastAsia="Times New Roman" w:hAnsi="Arial Narrow"/>
                <w:b/>
                <w:bCs/>
                <w:sz w:val="24"/>
                <w:szCs w:val="24"/>
                <w:lang w:eastAsia="es-MX"/>
              </w:rPr>
              <w:t xml:space="preserve">NIT: </w:t>
            </w:r>
            <w:r>
              <w:rPr>
                <w:rFonts w:ascii="Arial Narrow" w:eastAsia="Times New Roman" w:hAnsi="Arial Narrow"/>
                <w:b/>
                <w:bCs/>
                <w:sz w:val="24"/>
                <w:szCs w:val="24"/>
                <w:lang w:eastAsia="es-MX"/>
              </w:rPr>
              <w:t>999.888.777</w:t>
            </w:r>
          </w:p>
        </w:tc>
      </w:tr>
      <w:tr w:rsidR="00A91CF2" w:rsidRPr="00003AE9" w14:paraId="1243AA0F" w14:textId="77777777" w:rsidTr="00121148">
        <w:trPr>
          <w:trHeight w:val="293"/>
          <w:jc w:val="center"/>
        </w:trPr>
        <w:tc>
          <w:tcPr>
            <w:tcW w:w="8939" w:type="dxa"/>
            <w:gridSpan w:val="9"/>
            <w:tcBorders>
              <w:top w:val="nil"/>
              <w:left w:val="single" w:sz="4" w:space="0" w:color="auto"/>
              <w:bottom w:val="nil"/>
              <w:right w:val="single" w:sz="4" w:space="0" w:color="auto"/>
            </w:tcBorders>
            <w:shd w:val="clear" w:color="auto" w:fill="auto"/>
            <w:noWrap/>
            <w:vAlign w:val="bottom"/>
            <w:hideMark/>
          </w:tcPr>
          <w:p w14:paraId="79642746" w14:textId="77777777" w:rsidR="00A91CF2" w:rsidRPr="0067349E" w:rsidRDefault="00A91CF2" w:rsidP="00C05773">
            <w:pPr>
              <w:spacing w:after="0" w:line="240" w:lineRule="auto"/>
              <w:jc w:val="center"/>
              <w:rPr>
                <w:rFonts w:ascii="Arial Narrow" w:eastAsia="Times New Roman" w:hAnsi="Arial Narrow"/>
                <w:b/>
                <w:bCs/>
                <w:color w:val="000000"/>
                <w:sz w:val="24"/>
                <w:szCs w:val="24"/>
                <w:lang w:eastAsia="es-MX"/>
              </w:rPr>
            </w:pPr>
            <w:r w:rsidRPr="0067349E">
              <w:rPr>
                <w:rFonts w:ascii="Arial Narrow" w:eastAsia="Times New Roman" w:hAnsi="Arial Narrow"/>
                <w:b/>
                <w:bCs/>
                <w:color w:val="000000"/>
                <w:sz w:val="24"/>
                <w:szCs w:val="24"/>
                <w:lang w:eastAsia="es-MX"/>
              </w:rPr>
              <w:t xml:space="preserve">Preparador de Información Financiera del Grupo </w:t>
            </w:r>
            <w:r>
              <w:rPr>
                <w:rFonts w:ascii="Arial Narrow" w:eastAsia="Times New Roman" w:hAnsi="Arial Narrow"/>
                <w:b/>
                <w:bCs/>
                <w:color w:val="000000"/>
                <w:sz w:val="24"/>
                <w:szCs w:val="24"/>
                <w:lang w:eastAsia="es-MX"/>
              </w:rPr>
              <w:t>2</w:t>
            </w:r>
          </w:p>
        </w:tc>
      </w:tr>
      <w:tr w:rsidR="00A91CF2" w:rsidRPr="00003AE9" w14:paraId="69C7D467" w14:textId="77777777" w:rsidTr="00121148">
        <w:trPr>
          <w:trHeight w:val="85"/>
          <w:jc w:val="center"/>
        </w:trPr>
        <w:tc>
          <w:tcPr>
            <w:tcW w:w="1199" w:type="dxa"/>
            <w:tcBorders>
              <w:top w:val="nil"/>
              <w:left w:val="single" w:sz="4" w:space="0" w:color="auto"/>
              <w:bottom w:val="nil"/>
              <w:right w:val="nil"/>
            </w:tcBorders>
            <w:shd w:val="clear" w:color="auto" w:fill="auto"/>
            <w:noWrap/>
            <w:vAlign w:val="bottom"/>
            <w:hideMark/>
          </w:tcPr>
          <w:p w14:paraId="48DFBE37" w14:textId="77777777" w:rsidR="00A91CF2" w:rsidRPr="0067349E" w:rsidRDefault="00A91CF2" w:rsidP="00C05773">
            <w:pPr>
              <w:spacing w:after="0" w:line="240" w:lineRule="auto"/>
              <w:rPr>
                <w:rFonts w:ascii="Arial Narrow" w:eastAsia="Times New Roman" w:hAnsi="Arial Narrow"/>
                <w:color w:val="000000"/>
                <w:sz w:val="24"/>
                <w:szCs w:val="24"/>
                <w:lang w:eastAsia="es-MX"/>
              </w:rPr>
            </w:pPr>
          </w:p>
        </w:tc>
        <w:tc>
          <w:tcPr>
            <w:tcW w:w="1074" w:type="dxa"/>
            <w:tcBorders>
              <w:top w:val="nil"/>
              <w:left w:val="nil"/>
              <w:bottom w:val="nil"/>
              <w:right w:val="nil"/>
            </w:tcBorders>
            <w:shd w:val="clear" w:color="auto" w:fill="auto"/>
            <w:noWrap/>
            <w:vAlign w:val="bottom"/>
            <w:hideMark/>
          </w:tcPr>
          <w:p w14:paraId="4A9129BC" w14:textId="77777777" w:rsidR="00A91CF2" w:rsidRPr="0067349E" w:rsidRDefault="00A91CF2" w:rsidP="00C05773">
            <w:pPr>
              <w:spacing w:after="0" w:line="240" w:lineRule="auto"/>
              <w:rPr>
                <w:rFonts w:ascii="Arial Narrow" w:eastAsia="Times New Roman" w:hAnsi="Arial Narrow"/>
                <w:color w:val="000000"/>
                <w:sz w:val="24"/>
                <w:szCs w:val="24"/>
                <w:lang w:eastAsia="es-MX"/>
              </w:rPr>
            </w:pPr>
          </w:p>
        </w:tc>
        <w:tc>
          <w:tcPr>
            <w:tcW w:w="1074" w:type="dxa"/>
            <w:tcBorders>
              <w:top w:val="nil"/>
              <w:left w:val="nil"/>
              <w:bottom w:val="nil"/>
              <w:right w:val="nil"/>
            </w:tcBorders>
            <w:shd w:val="clear" w:color="auto" w:fill="auto"/>
            <w:noWrap/>
            <w:vAlign w:val="bottom"/>
            <w:hideMark/>
          </w:tcPr>
          <w:p w14:paraId="3DFADE66" w14:textId="77777777" w:rsidR="00A91CF2" w:rsidRPr="0067349E" w:rsidRDefault="00A91CF2" w:rsidP="00C05773">
            <w:pPr>
              <w:spacing w:after="0" w:line="240" w:lineRule="auto"/>
              <w:rPr>
                <w:rFonts w:ascii="Arial Narrow" w:eastAsia="Times New Roman" w:hAnsi="Arial Narrow"/>
                <w:color w:val="000000"/>
                <w:sz w:val="24"/>
                <w:szCs w:val="24"/>
                <w:lang w:eastAsia="es-MX"/>
              </w:rPr>
            </w:pPr>
          </w:p>
        </w:tc>
        <w:tc>
          <w:tcPr>
            <w:tcW w:w="1074" w:type="dxa"/>
            <w:gridSpan w:val="2"/>
            <w:tcBorders>
              <w:top w:val="nil"/>
              <w:left w:val="nil"/>
              <w:bottom w:val="nil"/>
              <w:right w:val="nil"/>
            </w:tcBorders>
            <w:shd w:val="clear" w:color="auto" w:fill="auto"/>
            <w:noWrap/>
            <w:vAlign w:val="bottom"/>
            <w:hideMark/>
          </w:tcPr>
          <w:p w14:paraId="5C32C55F" w14:textId="77777777" w:rsidR="00A91CF2" w:rsidRPr="0067349E" w:rsidRDefault="00A91CF2" w:rsidP="00C05773">
            <w:pPr>
              <w:spacing w:after="0" w:line="240" w:lineRule="auto"/>
              <w:rPr>
                <w:rFonts w:ascii="Arial Narrow" w:eastAsia="Times New Roman" w:hAnsi="Arial Narrow"/>
                <w:color w:val="000000"/>
                <w:sz w:val="24"/>
                <w:szCs w:val="24"/>
                <w:lang w:eastAsia="es-MX"/>
              </w:rPr>
            </w:pPr>
          </w:p>
        </w:tc>
        <w:tc>
          <w:tcPr>
            <w:tcW w:w="1074" w:type="dxa"/>
            <w:tcBorders>
              <w:top w:val="nil"/>
              <w:left w:val="nil"/>
              <w:bottom w:val="nil"/>
              <w:right w:val="nil"/>
            </w:tcBorders>
            <w:shd w:val="clear" w:color="auto" w:fill="auto"/>
            <w:noWrap/>
            <w:vAlign w:val="bottom"/>
            <w:hideMark/>
          </w:tcPr>
          <w:p w14:paraId="22CAB0F2" w14:textId="77777777" w:rsidR="00A91CF2" w:rsidRPr="0067349E" w:rsidRDefault="00A91CF2" w:rsidP="00C05773">
            <w:pPr>
              <w:spacing w:after="0" w:line="240" w:lineRule="auto"/>
              <w:rPr>
                <w:rFonts w:ascii="Arial Narrow" w:eastAsia="Times New Roman" w:hAnsi="Arial Narrow"/>
                <w:color w:val="000000"/>
                <w:sz w:val="24"/>
                <w:szCs w:val="24"/>
                <w:lang w:eastAsia="es-MX"/>
              </w:rPr>
            </w:pPr>
          </w:p>
        </w:tc>
        <w:tc>
          <w:tcPr>
            <w:tcW w:w="1074" w:type="dxa"/>
            <w:tcBorders>
              <w:top w:val="nil"/>
              <w:left w:val="nil"/>
              <w:bottom w:val="nil"/>
              <w:right w:val="nil"/>
            </w:tcBorders>
            <w:shd w:val="clear" w:color="auto" w:fill="auto"/>
            <w:noWrap/>
            <w:vAlign w:val="bottom"/>
            <w:hideMark/>
          </w:tcPr>
          <w:p w14:paraId="54F2E8D0" w14:textId="77777777" w:rsidR="00A91CF2" w:rsidRPr="0067349E" w:rsidRDefault="00A91CF2" w:rsidP="00C05773">
            <w:pPr>
              <w:spacing w:after="0" w:line="240" w:lineRule="auto"/>
              <w:rPr>
                <w:rFonts w:ascii="Arial Narrow" w:eastAsia="Times New Roman" w:hAnsi="Arial Narrow"/>
                <w:color w:val="000000"/>
                <w:sz w:val="24"/>
                <w:szCs w:val="24"/>
                <w:lang w:eastAsia="es-MX"/>
              </w:rPr>
            </w:pPr>
          </w:p>
        </w:tc>
        <w:tc>
          <w:tcPr>
            <w:tcW w:w="1074" w:type="dxa"/>
            <w:tcBorders>
              <w:top w:val="nil"/>
              <w:left w:val="nil"/>
              <w:bottom w:val="nil"/>
              <w:right w:val="nil"/>
            </w:tcBorders>
            <w:shd w:val="clear" w:color="auto" w:fill="auto"/>
            <w:noWrap/>
            <w:vAlign w:val="bottom"/>
            <w:hideMark/>
          </w:tcPr>
          <w:p w14:paraId="05DA568C" w14:textId="77777777" w:rsidR="00A91CF2" w:rsidRPr="0067349E" w:rsidRDefault="00A91CF2" w:rsidP="00C05773">
            <w:pPr>
              <w:spacing w:after="0" w:line="240" w:lineRule="auto"/>
              <w:rPr>
                <w:rFonts w:ascii="Arial Narrow" w:eastAsia="Times New Roman" w:hAnsi="Arial Narrow"/>
                <w:color w:val="000000"/>
                <w:sz w:val="24"/>
                <w:szCs w:val="24"/>
                <w:lang w:eastAsia="es-MX"/>
              </w:rPr>
            </w:pPr>
          </w:p>
        </w:tc>
        <w:tc>
          <w:tcPr>
            <w:tcW w:w="1296" w:type="dxa"/>
            <w:tcBorders>
              <w:top w:val="nil"/>
              <w:left w:val="nil"/>
              <w:bottom w:val="nil"/>
              <w:right w:val="single" w:sz="4" w:space="0" w:color="auto"/>
            </w:tcBorders>
            <w:shd w:val="clear" w:color="auto" w:fill="auto"/>
            <w:noWrap/>
            <w:vAlign w:val="bottom"/>
            <w:hideMark/>
          </w:tcPr>
          <w:p w14:paraId="2436EA50" w14:textId="77777777" w:rsidR="00A91CF2" w:rsidRPr="0067349E" w:rsidRDefault="00A91CF2" w:rsidP="00C05773">
            <w:pPr>
              <w:spacing w:after="0" w:line="240" w:lineRule="auto"/>
              <w:rPr>
                <w:rFonts w:ascii="Arial Narrow" w:eastAsia="Times New Roman" w:hAnsi="Arial Narrow"/>
                <w:color w:val="000000"/>
                <w:sz w:val="24"/>
                <w:szCs w:val="24"/>
                <w:lang w:eastAsia="es-MX"/>
              </w:rPr>
            </w:pPr>
          </w:p>
        </w:tc>
      </w:tr>
      <w:tr w:rsidR="00A91CF2" w:rsidRPr="00003AE9" w14:paraId="5D0B23F2" w14:textId="77777777" w:rsidTr="00121148">
        <w:trPr>
          <w:trHeight w:val="293"/>
          <w:jc w:val="center"/>
        </w:trPr>
        <w:tc>
          <w:tcPr>
            <w:tcW w:w="3347" w:type="dxa"/>
            <w:gridSpan w:val="3"/>
            <w:tcBorders>
              <w:top w:val="single" w:sz="4" w:space="0" w:color="auto"/>
              <w:left w:val="single" w:sz="4" w:space="0" w:color="auto"/>
              <w:bottom w:val="single" w:sz="4" w:space="0" w:color="auto"/>
              <w:right w:val="single" w:sz="4" w:space="0" w:color="auto"/>
            </w:tcBorders>
            <w:shd w:val="clear" w:color="auto" w:fill="4BACC6"/>
            <w:noWrap/>
            <w:vAlign w:val="bottom"/>
            <w:hideMark/>
          </w:tcPr>
          <w:p w14:paraId="322C6F5A" w14:textId="6C424A87" w:rsidR="00A91CF2" w:rsidRPr="00CC6D5A" w:rsidRDefault="00A91CF2" w:rsidP="00C05773">
            <w:pPr>
              <w:spacing w:after="0" w:line="240" w:lineRule="auto"/>
              <w:rPr>
                <w:rFonts w:ascii="Arial" w:eastAsia="Times New Roman" w:hAnsi="Arial" w:cs="Arial"/>
                <w:b/>
                <w:bCs/>
                <w:color w:val="000000"/>
                <w:sz w:val="24"/>
                <w:szCs w:val="24"/>
                <w:lang w:eastAsia="es-MX"/>
              </w:rPr>
            </w:pPr>
            <w:r w:rsidRPr="00CC6D5A">
              <w:rPr>
                <w:rFonts w:ascii="Arial" w:eastAsia="Times New Roman" w:hAnsi="Arial" w:cs="Arial"/>
                <w:b/>
                <w:bCs/>
                <w:color w:val="000000"/>
                <w:sz w:val="24"/>
                <w:szCs w:val="24"/>
                <w:lang w:eastAsia="es-MX"/>
              </w:rPr>
              <w:t>Política #</w:t>
            </w:r>
            <w:r w:rsidR="005008D1">
              <w:rPr>
                <w:rFonts w:ascii="Arial" w:eastAsia="Times New Roman" w:hAnsi="Arial" w:cs="Arial"/>
                <w:b/>
                <w:bCs/>
                <w:color w:val="000000"/>
                <w:sz w:val="24"/>
                <w:szCs w:val="24"/>
                <w:lang w:eastAsia="es-MX"/>
              </w:rPr>
              <w:t xml:space="preserve"> </w:t>
            </w:r>
          </w:p>
        </w:tc>
        <w:tc>
          <w:tcPr>
            <w:tcW w:w="5592" w:type="dxa"/>
            <w:gridSpan w:val="6"/>
            <w:tcBorders>
              <w:top w:val="single" w:sz="4" w:space="0" w:color="auto"/>
              <w:left w:val="nil"/>
              <w:bottom w:val="single" w:sz="4" w:space="0" w:color="auto"/>
              <w:right w:val="single" w:sz="4" w:space="0" w:color="auto"/>
            </w:tcBorders>
            <w:shd w:val="clear" w:color="auto" w:fill="auto"/>
            <w:noWrap/>
            <w:vAlign w:val="bottom"/>
            <w:hideMark/>
          </w:tcPr>
          <w:p w14:paraId="6DB893CD" w14:textId="0749F533" w:rsidR="00A91CF2" w:rsidRPr="00A4732A" w:rsidRDefault="00A91CF2" w:rsidP="00C05773">
            <w:pPr>
              <w:spacing w:after="0" w:line="240" w:lineRule="auto"/>
              <w:jc w:val="center"/>
              <w:rPr>
                <w:rFonts w:ascii="Arial Narrow" w:eastAsia="Times New Roman" w:hAnsi="Arial Narrow"/>
                <w:b/>
                <w:bCs/>
                <w:color w:val="000000"/>
                <w:sz w:val="24"/>
                <w:szCs w:val="24"/>
                <w:lang w:eastAsia="es-MX"/>
              </w:rPr>
            </w:pPr>
            <w:r w:rsidRPr="00A4732A">
              <w:rPr>
                <w:rFonts w:ascii="Arial Narrow" w:eastAsia="Times New Roman" w:hAnsi="Arial Narrow"/>
                <w:b/>
                <w:bCs/>
                <w:color w:val="000000"/>
                <w:sz w:val="24"/>
                <w:szCs w:val="24"/>
                <w:lang w:eastAsia="es-MX"/>
              </w:rPr>
              <w:t>01</w:t>
            </w:r>
            <w:r w:rsidR="0062246F" w:rsidRPr="00A4732A">
              <w:rPr>
                <w:rFonts w:ascii="Arial Narrow" w:eastAsia="Times New Roman" w:hAnsi="Arial Narrow"/>
                <w:b/>
                <w:bCs/>
                <w:color w:val="000000"/>
                <w:sz w:val="24"/>
                <w:szCs w:val="24"/>
                <w:lang w:eastAsia="es-MX"/>
              </w:rPr>
              <w:t>7</w:t>
            </w:r>
          </w:p>
        </w:tc>
      </w:tr>
      <w:tr w:rsidR="00A91CF2" w:rsidRPr="00003AE9" w14:paraId="4BB8DD89" w14:textId="77777777" w:rsidTr="00121148">
        <w:trPr>
          <w:trHeight w:val="293"/>
          <w:jc w:val="center"/>
        </w:trPr>
        <w:tc>
          <w:tcPr>
            <w:tcW w:w="3347" w:type="dxa"/>
            <w:gridSpan w:val="3"/>
            <w:tcBorders>
              <w:top w:val="single" w:sz="4" w:space="0" w:color="auto"/>
              <w:left w:val="single" w:sz="4" w:space="0" w:color="auto"/>
              <w:bottom w:val="single" w:sz="4" w:space="0" w:color="auto"/>
              <w:right w:val="single" w:sz="4" w:space="0" w:color="auto"/>
            </w:tcBorders>
            <w:shd w:val="clear" w:color="auto" w:fill="4BACC6"/>
            <w:noWrap/>
            <w:vAlign w:val="bottom"/>
            <w:hideMark/>
          </w:tcPr>
          <w:p w14:paraId="0F6EDA27" w14:textId="77777777" w:rsidR="00A91CF2" w:rsidRPr="00CC6D5A" w:rsidRDefault="00A91CF2" w:rsidP="00C05773">
            <w:pPr>
              <w:spacing w:after="0" w:line="240" w:lineRule="auto"/>
              <w:rPr>
                <w:rFonts w:ascii="Arial" w:eastAsia="Times New Roman" w:hAnsi="Arial" w:cs="Arial"/>
                <w:b/>
                <w:bCs/>
                <w:color w:val="000000"/>
                <w:sz w:val="24"/>
                <w:szCs w:val="24"/>
                <w:lang w:eastAsia="es-MX"/>
              </w:rPr>
            </w:pPr>
            <w:r w:rsidRPr="00CC6D5A">
              <w:rPr>
                <w:rFonts w:ascii="Arial" w:eastAsia="Times New Roman" w:hAnsi="Arial" w:cs="Arial"/>
                <w:b/>
                <w:bCs/>
                <w:color w:val="000000"/>
                <w:sz w:val="24"/>
                <w:szCs w:val="24"/>
                <w:lang w:eastAsia="es-MX"/>
              </w:rPr>
              <w:t>Título Política</w:t>
            </w:r>
          </w:p>
        </w:tc>
        <w:tc>
          <w:tcPr>
            <w:tcW w:w="5592" w:type="dxa"/>
            <w:gridSpan w:val="6"/>
            <w:tcBorders>
              <w:top w:val="single" w:sz="4" w:space="0" w:color="auto"/>
              <w:left w:val="nil"/>
              <w:bottom w:val="single" w:sz="4" w:space="0" w:color="auto"/>
              <w:right w:val="single" w:sz="4" w:space="0" w:color="auto"/>
            </w:tcBorders>
            <w:shd w:val="clear" w:color="auto" w:fill="auto"/>
            <w:noWrap/>
            <w:hideMark/>
          </w:tcPr>
          <w:p w14:paraId="2AB3B87A" w14:textId="5B44796A" w:rsidR="00A91CF2" w:rsidRPr="00910A3D" w:rsidRDefault="0062246F" w:rsidP="00C05773">
            <w:pPr>
              <w:spacing w:line="260" w:lineRule="exact"/>
              <w:ind w:left="632"/>
              <w:jc w:val="center"/>
              <w:rPr>
                <w:rFonts w:ascii="Arial" w:eastAsia="Arial" w:hAnsi="Arial" w:cs="Arial"/>
                <w:sz w:val="24"/>
                <w:szCs w:val="24"/>
                <w:lang w:val="es-ES"/>
              </w:rPr>
            </w:pPr>
            <w:r>
              <w:rPr>
                <w:rFonts w:ascii="Arial" w:eastAsia="Arial" w:hAnsi="Arial" w:cs="Arial"/>
                <w:b/>
                <w:spacing w:val="1"/>
                <w:sz w:val="24"/>
                <w:szCs w:val="24"/>
                <w:lang w:val="es-ES"/>
              </w:rPr>
              <w:t>I</w:t>
            </w:r>
            <w:r w:rsidR="00A91CF2">
              <w:rPr>
                <w:rFonts w:ascii="Arial" w:eastAsia="Arial" w:hAnsi="Arial" w:cs="Arial"/>
                <w:b/>
                <w:spacing w:val="1"/>
                <w:sz w:val="24"/>
                <w:szCs w:val="24"/>
                <w:lang w:val="es-ES"/>
              </w:rPr>
              <w:t>n</w:t>
            </w:r>
            <w:r>
              <w:rPr>
                <w:rFonts w:ascii="Arial" w:eastAsia="Arial" w:hAnsi="Arial" w:cs="Arial"/>
                <w:b/>
                <w:spacing w:val="1"/>
                <w:sz w:val="24"/>
                <w:szCs w:val="24"/>
                <w:lang w:val="es-ES"/>
              </w:rPr>
              <w:t>ventarios</w:t>
            </w:r>
          </w:p>
        </w:tc>
      </w:tr>
      <w:tr w:rsidR="00A91CF2" w:rsidRPr="00003AE9" w14:paraId="7980B516" w14:textId="77777777" w:rsidTr="00121148">
        <w:trPr>
          <w:trHeight w:val="293"/>
          <w:jc w:val="center"/>
        </w:trPr>
        <w:tc>
          <w:tcPr>
            <w:tcW w:w="1199" w:type="dxa"/>
            <w:tcBorders>
              <w:top w:val="nil"/>
              <w:left w:val="single" w:sz="4" w:space="0" w:color="auto"/>
              <w:bottom w:val="nil"/>
              <w:right w:val="nil"/>
            </w:tcBorders>
            <w:shd w:val="clear" w:color="auto" w:fill="auto"/>
            <w:noWrap/>
            <w:vAlign w:val="bottom"/>
            <w:hideMark/>
          </w:tcPr>
          <w:p w14:paraId="0E17B9F9" w14:textId="77777777" w:rsidR="00A91CF2" w:rsidRPr="0067349E" w:rsidRDefault="00A91CF2" w:rsidP="00C05773">
            <w:pPr>
              <w:spacing w:after="0" w:line="240" w:lineRule="auto"/>
              <w:rPr>
                <w:rFonts w:ascii="Arial Narrow" w:eastAsia="Times New Roman" w:hAnsi="Arial Narrow"/>
                <w:color w:val="000000"/>
                <w:sz w:val="24"/>
                <w:szCs w:val="24"/>
                <w:lang w:eastAsia="es-MX"/>
              </w:rPr>
            </w:pPr>
          </w:p>
        </w:tc>
        <w:tc>
          <w:tcPr>
            <w:tcW w:w="1074" w:type="dxa"/>
            <w:tcBorders>
              <w:top w:val="nil"/>
              <w:left w:val="nil"/>
              <w:bottom w:val="nil"/>
              <w:right w:val="nil"/>
            </w:tcBorders>
            <w:shd w:val="clear" w:color="auto" w:fill="auto"/>
            <w:noWrap/>
            <w:vAlign w:val="bottom"/>
            <w:hideMark/>
          </w:tcPr>
          <w:p w14:paraId="3F4639D5" w14:textId="77777777" w:rsidR="00A91CF2" w:rsidRPr="0067349E" w:rsidRDefault="00A91CF2" w:rsidP="00C05773">
            <w:pPr>
              <w:spacing w:after="0" w:line="240" w:lineRule="auto"/>
              <w:rPr>
                <w:rFonts w:ascii="Arial Narrow" w:eastAsia="Times New Roman" w:hAnsi="Arial Narrow"/>
                <w:color w:val="000000"/>
                <w:sz w:val="24"/>
                <w:szCs w:val="24"/>
                <w:lang w:eastAsia="es-MX"/>
              </w:rPr>
            </w:pPr>
          </w:p>
        </w:tc>
        <w:tc>
          <w:tcPr>
            <w:tcW w:w="1074" w:type="dxa"/>
            <w:tcBorders>
              <w:top w:val="nil"/>
              <w:left w:val="nil"/>
              <w:bottom w:val="nil"/>
              <w:right w:val="nil"/>
            </w:tcBorders>
            <w:shd w:val="clear" w:color="auto" w:fill="auto"/>
            <w:noWrap/>
            <w:vAlign w:val="bottom"/>
            <w:hideMark/>
          </w:tcPr>
          <w:p w14:paraId="042578F3" w14:textId="77777777" w:rsidR="00A91CF2" w:rsidRPr="0067349E" w:rsidRDefault="00A91CF2" w:rsidP="00C05773">
            <w:pPr>
              <w:spacing w:after="0" w:line="240" w:lineRule="auto"/>
              <w:rPr>
                <w:rFonts w:ascii="Arial Narrow" w:eastAsia="Times New Roman" w:hAnsi="Arial Narrow"/>
                <w:color w:val="000000"/>
                <w:sz w:val="24"/>
                <w:szCs w:val="24"/>
                <w:lang w:eastAsia="es-MX"/>
              </w:rPr>
            </w:pPr>
          </w:p>
        </w:tc>
        <w:tc>
          <w:tcPr>
            <w:tcW w:w="1074" w:type="dxa"/>
            <w:gridSpan w:val="2"/>
            <w:tcBorders>
              <w:top w:val="nil"/>
              <w:left w:val="nil"/>
              <w:bottom w:val="nil"/>
              <w:right w:val="nil"/>
            </w:tcBorders>
            <w:shd w:val="clear" w:color="auto" w:fill="auto"/>
            <w:noWrap/>
            <w:vAlign w:val="bottom"/>
            <w:hideMark/>
          </w:tcPr>
          <w:p w14:paraId="2C9DAA37" w14:textId="77777777" w:rsidR="00A91CF2" w:rsidRPr="0067349E" w:rsidRDefault="00A91CF2" w:rsidP="00C05773">
            <w:pPr>
              <w:spacing w:after="0" w:line="240" w:lineRule="auto"/>
              <w:rPr>
                <w:rFonts w:ascii="Arial Narrow" w:eastAsia="Times New Roman" w:hAnsi="Arial Narrow"/>
                <w:color w:val="000000"/>
                <w:sz w:val="24"/>
                <w:szCs w:val="24"/>
                <w:lang w:eastAsia="es-MX"/>
              </w:rPr>
            </w:pPr>
          </w:p>
        </w:tc>
        <w:tc>
          <w:tcPr>
            <w:tcW w:w="1074" w:type="dxa"/>
            <w:tcBorders>
              <w:top w:val="nil"/>
              <w:left w:val="nil"/>
              <w:bottom w:val="nil"/>
              <w:right w:val="nil"/>
            </w:tcBorders>
            <w:shd w:val="clear" w:color="auto" w:fill="auto"/>
            <w:noWrap/>
            <w:vAlign w:val="bottom"/>
            <w:hideMark/>
          </w:tcPr>
          <w:p w14:paraId="3797D2B4" w14:textId="77777777" w:rsidR="00A91CF2" w:rsidRPr="0067349E" w:rsidRDefault="00A91CF2" w:rsidP="00C05773">
            <w:pPr>
              <w:spacing w:after="0" w:line="240" w:lineRule="auto"/>
              <w:rPr>
                <w:rFonts w:ascii="Arial Narrow" w:eastAsia="Times New Roman" w:hAnsi="Arial Narrow"/>
                <w:color w:val="000000"/>
                <w:sz w:val="24"/>
                <w:szCs w:val="24"/>
                <w:lang w:eastAsia="es-MX"/>
              </w:rPr>
            </w:pPr>
          </w:p>
        </w:tc>
        <w:tc>
          <w:tcPr>
            <w:tcW w:w="1074" w:type="dxa"/>
            <w:tcBorders>
              <w:top w:val="nil"/>
              <w:left w:val="nil"/>
              <w:bottom w:val="nil"/>
              <w:right w:val="nil"/>
            </w:tcBorders>
            <w:shd w:val="clear" w:color="auto" w:fill="auto"/>
            <w:noWrap/>
            <w:vAlign w:val="bottom"/>
            <w:hideMark/>
          </w:tcPr>
          <w:p w14:paraId="567B0B3F" w14:textId="77777777" w:rsidR="00A91CF2" w:rsidRPr="0067349E" w:rsidRDefault="00A91CF2" w:rsidP="00C05773">
            <w:pPr>
              <w:spacing w:after="0" w:line="240" w:lineRule="auto"/>
              <w:rPr>
                <w:rFonts w:ascii="Arial Narrow" w:eastAsia="Times New Roman" w:hAnsi="Arial Narrow"/>
                <w:color w:val="000000"/>
                <w:sz w:val="24"/>
                <w:szCs w:val="24"/>
                <w:lang w:eastAsia="es-MX"/>
              </w:rPr>
            </w:pPr>
          </w:p>
        </w:tc>
        <w:tc>
          <w:tcPr>
            <w:tcW w:w="1074" w:type="dxa"/>
            <w:tcBorders>
              <w:top w:val="nil"/>
              <w:left w:val="nil"/>
              <w:bottom w:val="nil"/>
              <w:right w:val="nil"/>
            </w:tcBorders>
            <w:shd w:val="clear" w:color="auto" w:fill="auto"/>
            <w:noWrap/>
            <w:vAlign w:val="bottom"/>
            <w:hideMark/>
          </w:tcPr>
          <w:p w14:paraId="496B5125" w14:textId="77777777" w:rsidR="00A91CF2" w:rsidRPr="0067349E" w:rsidRDefault="00A91CF2" w:rsidP="00C05773">
            <w:pPr>
              <w:spacing w:after="0" w:line="240" w:lineRule="auto"/>
              <w:rPr>
                <w:rFonts w:ascii="Arial Narrow" w:eastAsia="Times New Roman" w:hAnsi="Arial Narrow"/>
                <w:color w:val="000000"/>
                <w:sz w:val="24"/>
                <w:szCs w:val="24"/>
                <w:lang w:eastAsia="es-MX"/>
              </w:rPr>
            </w:pPr>
          </w:p>
        </w:tc>
        <w:tc>
          <w:tcPr>
            <w:tcW w:w="1296" w:type="dxa"/>
            <w:tcBorders>
              <w:top w:val="nil"/>
              <w:left w:val="nil"/>
              <w:bottom w:val="nil"/>
              <w:right w:val="single" w:sz="4" w:space="0" w:color="auto"/>
            </w:tcBorders>
            <w:shd w:val="clear" w:color="auto" w:fill="auto"/>
            <w:noWrap/>
            <w:vAlign w:val="bottom"/>
            <w:hideMark/>
          </w:tcPr>
          <w:p w14:paraId="3514C971" w14:textId="77777777" w:rsidR="00A91CF2" w:rsidRPr="0067349E" w:rsidRDefault="00A91CF2" w:rsidP="00C05773">
            <w:pPr>
              <w:spacing w:after="0" w:line="240" w:lineRule="auto"/>
              <w:rPr>
                <w:rFonts w:ascii="Arial Narrow" w:eastAsia="Times New Roman" w:hAnsi="Arial Narrow"/>
                <w:color w:val="000000"/>
                <w:sz w:val="24"/>
                <w:szCs w:val="24"/>
                <w:lang w:eastAsia="es-MX"/>
              </w:rPr>
            </w:pPr>
          </w:p>
        </w:tc>
      </w:tr>
      <w:tr w:rsidR="00A91CF2" w:rsidRPr="00003AE9" w14:paraId="50089F27" w14:textId="77777777" w:rsidTr="00121148">
        <w:trPr>
          <w:trHeight w:val="293"/>
          <w:jc w:val="center"/>
        </w:trPr>
        <w:tc>
          <w:tcPr>
            <w:tcW w:w="8939" w:type="dxa"/>
            <w:gridSpan w:val="9"/>
            <w:tcBorders>
              <w:top w:val="nil"/>
              <w:left w:val="single" w:sz="4" w:space="0" w:color="auto"/>
              <w:bottom w:val="nil"/>
              <w:right w:val="single" w:sz="4" w:space="0" w:color="auto"/>
            </w:tcBorders>
            <w:shd w:val="clear" w:color="auto" w:fill="4BACC6"/>
            <w:noWrap/>
            <w:vAlign w:val="bottom"/>
            <w:hideMark/>
          </w:tcPr>
          <w:p w14:paraId="59B0004E" w14:textId="77777777" w:rsidR="00A91CF2" w:rsidRPr="00CC6D5A" w:rsidRDefault="00A91CF2" w:rsidP="00C05773">
            <w:pPr>
              <w:spacing w:after="0" w:line="240" w:lineRule="auto"/>
              <w:jc w:val="center"/>
              <w:rPr>
                <w:rFonts w:ascii="Arial" w:eastAsia="Times New Roman" w:hAnsi="Arial" w:cs="Arial"/>
                <w:b/>
                <w:bCs/>
                <w:color w:val="000000"/>
                <w:sz w:val="24"/>
                <w:szCs w:val="24"/>
                <w:lang w:eastAsia="es-MX"/>
              </w:rPr>
            </w:pPr>
            <w:r w:rsidRPr="00CC6D5A">
              <w:rPr>
                <w:rFonts w:ascii="Arial" w:eastAsia="Times New Roman" w:hAnsi="Arial" w:cs="Arial"/>
                <w:b/>
                <w:bCs/>
                <w:color w:val="000000"/>
                <w:sz w:val="24"/>
                <w:szCs w:val="24"/>
                <w:lang w:eastAsia="es-MX"/>
              </w:rPr>
              <w:t>Objetivo</w:t>
            </w:r>
          </w:p>
        </w:tc>
      </w:tr>
      <w:tr w:rsidR="00A91CF2" w:rsidRPr="00003AE9" w14:paraId="10231498" w14:textId="77777777" w:rsidTr="00121148">
        <w:trPr>
          <w:trHeight w:val="956"/>
          <w:jc w:val="center"/>
        </w:trPr>
        <w:tc>
          <w:tcPr>
            <w:tcW w:w="8939" w:type="dxa"/>
            <w:gridSpan w:val="9"/>
            <w:tcBorders>
              <w:top w:val="nil"/>
              <w:left w:val="single" w:sz="4" w:space="0" w:color="auto"/>
              <w:bottom w:val="nil"/>
              <w:right w:val="single" w:sz="4" w:space="0" w:color="auto"/>
            </w:tcBorders>
            <w:shd w:val="clear" w:color="auto" w:fill="auto"/>
            <w:hideMark/>
          </w:tcPr>
          <w:p w14:paraId="75CE8DCE" w14:textId="5D9AC110" w:rsidR="00A91CF2" w:rsidRPr="008D7779" w:rsidRDefault="00A91CF2" w:rsidP="00C05773">
            <w:pPr>
              <w:spacing w:before="41" w:line="275" w:lineRule="auto"/>
              <w:ind w:left="64" w:right="21"/>
              <w:jc w:val="both"/>
              <w:rPr>
                <w:rFonts w:ascii="Arial" w:eastAsia="Arial" w:hAnsi="Arial" w:cs="Arial"/>
                <w:spacing w:val="1"/>
                <w:sz w:val="24"/>
                <w:szCs w:val="24"/>
                <w:lang w:val="es-ES"/>
              </w:rPr>
            </w:pPr>
            <w:r w:rsidRPr="00BD39CB">
              <w:rPr>
                <w:rFonts w:ascii="Arial" w:eastAsia="Times New Roman" w:hAnsi="Arial" w:cs="Arial"/>
                <w:sz w:val="24"/>
                <w:szCs w:val="24"/>
                <w:lang w:val="es-ES_tradnl"/>
              </w:rPr>
              <w:t xml:space="preserve">Esta política contable </w:t>
            </w:r>
            <w:r>
              <w:rPr>
                <w:rFonts w:ascii="Arial" w:eastAsia="Times New Roman" w:hAnsi="Arial" w:cs="Arial"/>
                <w:sz w:val="24"/>
                <w:szCs w:val="24"/>
                <w:lang w:val="es-ES_tradnl"/>
              </w:rPr>
              <w:t xml:space="preserve">establece los lineamientos para el reconocimiento, y medición de </w:t>
            </w:r>
            <w:r w:rsidR="0062246F">
              <w:rPr>
                <w:rFonts w:ascii="Arial" w:eastAsia="Times New Roman" w:hAnsi="Arial" w:cs="Arial"/>
                <w:sz w:val="24"/>
                <w:szCs w:val="24"/>
                <w:lang w:val="es-ES_tradnl"/>
              </w:rPr>
              <w:t>los inventarios</w:t>
            </w:r>
            <w:r>
              <w:rPr>
                <w:rFonts w:ascii="Arial" w:eastAsia="Times New Roman" w:hAnsi="Arial" w:cs="Arial"/>
                <w:sz w:val="24"/>
                <w:szCs w:val="24"/>
                <w:lang w:val="es-ES_tradnl"/>
              </w:rPr>
              <w:t xml:space="preserve"> de </w:t>
            </w:r>
            <w:r w:rsidRPr="00BD39CB">
              <w:rPr>
                <w:rFonts w:ascii="Arial" w:eastAsia="Times New Roman" w:hAnsi="Arial" w:cs="Arial"/>
                <w:b/>
                <w:sz w:val="24"/>
                <w:szCs w:val="24"/>
                <w:lang w:eastAsia="es-MX"/>
              </w:rPr>
              <w:t>C</w:t>
            </w:r>
            <w:r w:rsidR="00D15B21">
              <w:rPr>
                <w:rFonts w:ascii="Arial" w:eastAsia="Times New Roman" w:hAnsi="Arial" w:cs="Arial"/>
                <w:b/>
                <w:sz w:val="24"/>
                <w:szCs w:val="24"/>
                <w:lang w:eastAsia="es-MX"/>
              </w:rPr>
              <w:t>OMERCIAL SAS</w:t>
            </w:r>
            <w:r>
              <w:rPr>
                <w:rFonts w:ascii="Arial" w:eastAsia="Times New Roman" w:hAnsi="Arial" w:cs="Arial"/>
                <w:b/>
                <w:sz w:val="24"/>
                <w:szCs w:val="24"/>
                <w:lang w:eastAsia="es-MX"/>
              </w:rPr>
              <w:t>.</w:t>
            </w:r>
          </w:p>
        </w:tc>
      </w:tr>
      <w:tr w:rsidR="00A91CF2" w:rsidRPr="00003AE9" w14:paraId="3AF3A7A0" w14:textId="77777777" w:rsidTr="00121148">
        <w:trPr>
          <w:trHeight w:val="293"/>
          <w:jc w:val="center"/>
        </w:trPr>
        <w:tc>
          <w:tcPr>
            <w:tcW w:w="8939" w:type="dxa"/>
            <w:gridSpan w:val="9"/>
            <w:tcBorders>
              <w:top w:val="nil"/>
              <w:left w:val="single" w:sz="4" w:space="0" w:color="auto"/>
              <w:bottom w:val="nil"/>
              <w:right w:val="single" w:sz="4" w:space="0" w:color="auto"/>
            </w:tcBorders>
            <w:shd w:val="clear" w:color="auto" w:fill="4BACC6"/>
            <w:noWrap/>
            <w:vAlign w:val="bottom"/>
            <w:hideMark/>
          </w:tcPr>
          <w:p w14:paraId="2CD9CF54" w14:textId="77777777" w:rsidR="00A91CF2" w:rsidRPr="00CC6D5A" w:rsidRDefault="00A91CF2" w:rsidP="00C05773">
            <w:pPr>
              <w:spacing w:after="0" w:line="240" w:lineRule="auto"/>
              <w:jc w:val="center"/>
              <w:rPr>
                <w:rFonts w:ascii="Arial" w:eastAsia="Arial" w:hAnsi="Arial" w:cs="Arial"/>
                <w:b/>
                <w:spacing w:val="1"/>
                <w:sz w:val="24"/>
                <w:szCs w:val="24"/>
                <w:lang w:val="es-ES"/>
              </w:rPr>
            </w:pPr>
            <w:r w:rsidRPr="00CC6D5A">
              <w:rPr>
                <w:rFonts w:ascii="Arial" w:eastAsia="Arial" w:hAnsi="Arial" w:cs="Arial"/>
                <w:b/>
                <w:spacing w:val="1"/>
                <w:sz w:val="24"/>
                <w:szCs w:val="24"/>
                <w:lang w:val="es-ES"/>
              </w:rPr>
              <w:t>Alcance</w:t>
            </w:r>
          </w:p>
        </w:tc>
      </w:tr>
      <w:tr w:rsidR="00A91CF2" w:rsidRPr="00003AE9" w14:paraId="344C9218" w14:textId="77777777" w:rsidTr="00121148">
        <w:trPr>
          <w:trHeight w:val="1316"/>
          <w:jc w:val="center"/>
        </w:trPr>
        <w:tc>
          <w:tcPr>
            <w:tcW w:w="8939" w:type="dxa"/>
            <w:gridSpan w:val="9"/>
            <w:tcBorders>
              <w:top w:val="nil"/>
              <w:left w:val="single" w:sz="4" w:space="0" w:color="auto"/>
              <w:bottom w:val="nil"/>
              <w:right w:val="single" w:sz="4" w:space="0" w:color="auto"/>
            </w:tcBorders>
            <w:shd w:val="clear" w:color="auto" w:fill="auto"/>
            <w:hideMark/>
          </w:tcPr>
          <w:p w14:paraId="6E611AE4" w14:textId="77777777" w:rsidR="00020DB3" w:rsidRDefault="00020DB3" w:rsidP="00A4732A">
            <w:pPr>
              <w:pStyle w:val="Default"/>
              <w:jc w:val="both"/>
            </w:pPr>
          </w:p>
          <w:p w14:paraId="69718D6E" w14:textId="3E94D2A0" w:rsidR="00A4732A" w:rsidRDefault="00A4732A" w:rsidP="00A4732A">
            <w:pPr>
              <w:pStyle w:val="Default"/>
              <w:jc w:val="both"/>
            </w:pPr>
            <w:r>
              <w:t>Esta sección se aplicará a los principios para el reconocimiento y medición de los</w:t>
            </w:r>
          </w:p>
          <w:p w14:paraId="2E9876A3" w14:textId="6A2157BB" w:rsidR="00A4732A" w:rsidRDefault="00A4732A" w:rsidP="00A4732A">
            <w:pPr>
              <w:pStyle w:val="Default"/>
              <w:jc w:val="both"/>
            </w:pPr>
            <w:r>
              <w:t xml:space="preserve">inventarios. Entiéndase </w:t>
            </w:r>
            <w:r w:rsidR="00D503B8">
              <w:t xml:space="preserve">como </w:t>
            </w:r>
            <w:r>
              <w:t>inventarios</w:t>
            </w:r>
            <w:r w:rsidR="00D503B8">
              <w:t>,</w:t>
            </w:r>
            <w:r>
              <w:t xml:space="preserve"> activos mantenidos para la venta en el curso normal de las operaciones; en proceso de producción con vistas a esa venta; </w:t>
            </w:r>
            <w:r w:rsidR="0045367F">
              <w:t>o en</w:t>
            </w:r>
            <w:bookmarkStart w:id="0" w:name="_GoBack"/>
            <w:bookmarkEnd w:id="0"/>
            <w:r>
              <w:t xml:space="preserve"> forma de materiales o suministros, para ser consumidos en el proceso de</w:t>
            </w:r>
          </w:p>
          <w:p w14:paraId="3072845C" w14:textId="2A0C285A" w:rsidR="00A91CF2" w:rsidRPr="00250422" w:rsidRDefault="00A4732A" w:rsidP="00A4732A">
            <w:pPr>
              <w:pStyle w:val="Default"/>
              <w:jc w:val="both"/>
              <w:rPr>
                <w:rFonts w:ascii="Arial Narrow" w:eastAsia="Times New Roman" w:hAnsi="Arial Narrow"/>
                <w:lang w:eastAsia="es-MX"/>
              </w:rPr>
            </w:pPr>
            <w:r>
              <w:t>producción, o en la prestación de servicios.</w:t>
            </w:r>
          </w:p>
        </w:tc>
      </w:tr>
      <w:tr w:rsidR="00A91CF2" w:rsidRPr="00003AE9" w14:paraId="6436DB96" w14:textId="77777777" w:rsidTr="00121148">
        <w:trPr>
          <w:trHeight w:val="78"/>
          <w:jc w:val="center"/>
        </w:trPr>
        <w:tc>
          <w:tcPr>
            <w:tcW w:w="1199" w:type="dxa"/>
            <w:tcBorders>
              <w:top w:val="nil"/>
              <w:left w:val="single" w:sz="4" w:space="0" w:color="auto"/>
              <w:bottom w:val="nil"/>
              <w:right w:val="nil"/>
            </w:tcBorders>
            <w:shd w:val="clear" w:color="auto" w:fill="auto"/>
            <w:noWrap/>
            <w:vAlign w:val="bottom"/>
            <w:hideMark/>
          </w:tcPr>
          <w:p w14:paraId="788D5FEF" w14:textId="77777777" w:rsidR="00A91CF2" w:rsidRPr="0067349E" w:rsidRDefault="00A91CF2" w:rsidP="00C05773">
            <w:pPr>
              <w:spacing w:after="0" w:line="240" w:lineRule="auto"/>
              <w:rPr>
                <w:rFonts w:ascii="Arial Narrow" w:eastAsia="Times New Roman" w:hAnsi="Arial Narrow"/>
                <w:color w:val="000000"/>
                <w:sz w:val="24"/>
                <w:szCs w:val="24"/>
                <w:lang w:eastAsia="es-MX"/>
              </w:rPr>
            </w:pPr>
          </w:p>
        </w:tc>
        <w:tc>
          <w:tcPr>
            <w:tcW w:w="1074" w:type="dxa"/>
            <w:tcBorders>
              <w:top w:val="nil"/>
              <w:left w:val="nil"/>
              <w:bottom w:val="nil"/>
              <w:right w:val="nil"/>
            </w:tcBorders>
            <w:shd w:val="clear" w:color="auto" w:fill="auto"/>
            <w:noWrap/>
            <w:vAlign w:val="bottom"/>
            <w:hideMark/>
          </w:tcPr>
          <w:p w14:paraId="62A63D06" w14:textId="77777777" w:rsidR="00A91CF2" w:rsidRPr="0067349E" w:rsidRDefault="00A91CF2" w:rsidP="00C05773">
            <w:pPr>
              <w:spacing w:after="0" w:line="240" w:lineRule="auto"/>
              <w:rPr>
                <w:rFonts w:ascii="Arial Narrow" w:eastAsia="Times New Roman" w:hAnsi="Arial Narrow"/>
                <w:color w:val="000000"/>
                <w:sz w:val="24"/>
                <w:szCs w:val="24"/>
                <w:lang w:eastAsia="es-MX"/>
              </w:rPr>
            </w:pPr>
          </w:p>
        </w:tc>
        <w:tc>
          <w:tcPr>
            <w:tcW w:w="1074" w:type="dxa"/>
            <w:tcBorders>
              <w:top w:val="nil"/>
              <w:left w:val="nil"/>
              <w:bottom w:val="nil"/>
              <w:right w:val="nil"/>
            </w:tcBorders>
            <w:shd w:val="clear" w:color="auto" w:fill="auto"/>
            <w:noWrap/>
            <w:vAlign w:val="bottom"/>
            <w:hideMark/>
          </w:tcPr>
          <w:p w14:paraId="1E7FE9EC" w14:textId="77777777" w:rsidR="00A91CF2" w:rsidRPr="0067349E" w:rsidRDefault="00A91CF2" w:rsidP="00C05773">
            <w:pPr>
              <w:spacing w:after="0" w:line="240" w:lineRule="auto"/>
              <w:rPr>
                <w:rFonts w:ascii="Arial Narrow" w:eastAsia="Times New Roman" w:hAnsi="Arial Narrow"/>
                <w:color w:val="000000"/>
                <w:sz w:val="24"/>
                <w:szCs w:val="24"/>
                <w:lang w:eastAsia="es-MX"/>
              </w:rPr>
            </w:pPr>
          </w:p>
        </w:tc>
        <w:tc>
          <w:tcPr>
            <w:tcW w:w="1074" w:type="dxa"/>
            <w:gridSpan w:val="2"/>
            <w:tcBorders>
              <w:top w:val="nil"/>
              <w:left w:val="nil"/>
              <w:bottom w:val="nil"/>
              <w:right w:val="nil"/>
            </w:tcBorders>
            <w:shd w:val="clear" w:color="auto" w:fill="auto"/>
            <w:noWrap/>
            <w:vAlign w:val="bottom"/>
            <w:hideMark/>
          </w:tcPr>
          <w:p w14:paraId="2C3DB4F0" w14:textId="77777777" w:rsidR="00A91CF2" w:rsidRPr="0067349E" w:rsidRDefault="00A91CF2" w:rsidP="00C05773">
            <w:pPr>
              <w:spacing w:after="0" w:line="240" w:lineRule="auto"/>
              <w:rPr>
                <w:rFonts w:ascii="Arial Narrow" w:eastAsia="Times New Roman" w:hAnsi="Arial Narrow"/>
                <w:color w:val="000000"/>
                <w:sz w:val="24"/>
                <w:szCs w:val="24"/>
                <w:lang w:eastAsia="es-MX"/>
              </w:rPr>
            </w:pPr>
          </w:p>
        </w:tc>
        <w:tc>
          <w:tcPr>
            <w:tcW w:w="1074" w:type="dxa"/>
            <w:tcBorders>
              <w:top w:val="nil"/>
              <w:left w:val="nil"/>
              <w:bottom w:val="nil"/>
              <w:right w:val="nil"/>
            </w:tcBorders>
            <w:shd w:val="clear" w:color="auto" w:fill="auto"/>
            <w:noWrap/>
            <w:vAlign w:val="bottom"/>
            <w:hideMark/>
          </w:tcPr>
          <w:p w14:paraId="5653297D" w14:textId="77777777" w:rsidR="00A91CF2" w:rsidRPr="0067349E" w:rsidRDefault="00A91CF2" w:rsidP="00C05773">
            <w:pPr>
              <w:spacing w:after="0" w:line="240" w:lineRule="auto"/>
              <w:rPr>
                <w:rFonts w:ascii="Arial Narrow" w:eastAsia="Times New Roman" w:hAnsi="Arial Narrow"/>
                <w:color w:val="000000"/>
                <w:sz w:val="24"/>
                <w:szCs w:val="24"/>
                <w:lang w:eastAsia="es-MX"/>
              </w:rPr>
            </w:pPr>
          </w:p>
        </w:tc>
        <w:tc>
          <w:tcPr>
            <w:tcW w:w="1074" w:type="dxa"/>
            <w:tcBorders>
              <w:top w:val="nil"/>
              <w:left w:val="nil"/>
              <w:bottom w:val="nil"/>
              <w:right w:val="nil"/>
            </w:tcBorders>
            <w:shd w:val="clear" w:color="auto" w:fill="auto"/>
            <w:noWrap/>
            <w:vAlign w:val="bottom"/>
            <w:hideMark/>
          </w:tcPr>
          <w:p w14:paraId="4F6B7321" w14:textId="77777777" w:rsidR="00A91CF2" w:rsidRPr="0067349E" w:rsidRDefault="00A91CF2" w:rsidP="00C05773">
            <w:pPr>
              <w:spacing w:after="0" w:line="240" w:lineRule="auto"/>
              <w:rPr>
                <w:rFonts w:ascii="Arial Narrow" w:eastAsia="Times New Roman" w:hAnsi="Arial Narrow"/>
                <w:color w:val="000000"/>
                <w:sz w:val="24"/>
                <w:szCs w:val="24"/>
                <w:lang w:eastAsia="es-MX"/>
              </w:rPr>
            </w:pPr>
          </w:p>
        </w:tc>
        <w:tc>
          <w:tcPr>
            <w:tcW w:w="1074" w:type="dxa"/>
            <w:tcBorders>
              <w:top w:val="nil"/>
              <w:left w:val="nil"/>
              <w:bottom w:val="nil"/>
              <w:right w:val="nil"/>
            </w:tcBorders>
            <w:shd w:val="clear" w:color="auto" w:fill="auto"/>
            <w:noWrap/>
            <w:vAlign w:val="bottom"/>
            <w:hideMark/>
          </w:tcPr>
          <w:p w14:paraId="682CA735" w14:textId="77777777" w:rsidR="00A91CF2" w:rsidRPr="0067349E" w:rsidRDefault="00A91CF2" w:rsidP="00C05773">
            <w:pPr>
              <w:spacing w:after="0" w:line="240" w:lineRule="auto"/>
              <w:rPr>
                <w:rFonts w:ascii="Arial Narrow" w:eastAsia="Times New Roman" w:hAnsi="Arial Narrow"/>
                <w:color w:val="000000"/>
                <w:sz w:val="24"/>
                <w:szCs w:val="24"/>
                <w:lang w:eastAsia="es-MX"/>
              </w:rPr>
            </w:pPr>
          </w:p>
        </w:tc>
        <w:tc>
          <w:tcPr>
            <w:tcW w:w="1296" w:type="dxa"/>
            <w:tcBorders>
              <w:top w:val="nil"/>
              <w:left w:val="nil"/>
              <w:bottom w:val="nil"/>
              <w:right w:val="single" w:sz="4" w:space="0" w:color="auto"/>
            </w:tcBorders>
            <w:shd w:val="clear" w:color="auto" w:fill="auto"/>
            <w:noWrap/>
            <w:vAlign w:val="bottom"/>
            <w:hideMark/>
          </w:tcPr>
          <w:p w14:paraId="14177D84" w14:textId="77777777" w:rsidR="00A91CF2" w:rsidRPr="0067349E" w:rsidRDefault="00A91CF2" w:rsidP="00C05773">
            <w:pPr>
              <w:spacing w:after="0" w:line="240" w:lineRule="auto"/>
              <w:rPr>
                <w:rFonts w:ascii="Arial Narrow" w:eastAsia="Times New Roman" w:hAnsi="Arial Narrow"/>
                <w:color w:val="000000"/>
                <w:sz w:val="24"/>
                <w:szCs w:val="24"/>
                <w:lang w:eastAsia="es-MX"/>
              </w:rPr>
            </w:pPr>
          </w:p>
        </w:tc>
      </w:tr>
      <w:tr w:rsidR="00A91CF2" w:rsidRPr="00003AE9" w14:paraId="4B304E24" w14:textId="77777777" w:rsidTr="00121148">
        <w:trPr>
          <w:trHeight w:val="293"/>
          <w:jc w:val="center"/>
        </w:trPr>
        <w:tc>
          <w:tcPr>
            <w:tcW w:w="8939" w:type="dxa"/>
            <w:gridSpan w:val="9"/>
            <w:tcBorders>
              <w:top w:val="nil"/>
              <w:left w:val="single" w:sz="4" w:space="0" w:color="auto"/>
              <w:bottom w:val="nil"/>
              <w:right w:val="single" w:sz="4" w:space="0" w:color="auto"/>
            </w:tcBorders>
            <w:shd w:val="clear" w:color="auto" w:fill="4BACC6"/>
            <w:noWrap/>
            <w:vAlign w:val="bottom"/>
            <w:hideMark/>
          </w:tcPr>
          <w:p w14:paraId="2792F0E5" w14:textId="77777777" w:rsidR="00A91CF2" w:rsidRPr="000A1FD5" w:rsidRDefault="00A91CF2" w:rsidP="00C05773">
            <w:pPr>
              <w:spacing w:after="0" w:line="240" w:lineRule="auto"/>
              <w:jc w:val="center"/>
              <w:rPr>
                <w:rFonts w:ascii="Arial" w:eastAsia="Times New Roman" w:hAnsi="Arial" w:cs="Arial"/>
                <w:b/>
                <w:bCs/>
                <w:color w:val="000000"/>
                <w:sz w:val="24"/>
                <w:szCs w:val="24"/>
                <w:lang w:eastAsia="es-MX"/>
              </w:rPr>
            </w:pPr>
            <w:r w:rsidRPr="000A1FD5">
              <w:rPr>
                <w:rFonts w:ascii="Arial" w:eastAsia="Times New Roman" w:hAnsi="Arial" w:cs="Arial"/>
                <w:b/>
                <w:bCs/>
                <w:color w:val="000000"/>
                <w:sz w:val="24"/>
                <w:szCs w:val="24"/>
                <w:lang w:eastAsia="es-MX"/>
              </w:rPr>
              <w:t xml:space="preserve">Descripción de la política </w:t>
            </w:r>
          </w:p>
        </w:tc>
      </w:tr>
      <w:tr w:rsidR="00A91CF2" w:rsidRPr="00003AE9" w14:paraId="1C38ADCF" w14:textId="77777777" w:rsidTr="00121148">
        <w:trPr>
          <w:trHeight w:val="5517"/>
          <w:jc w:val="center"/>
        </w:trPr>
        <w:tc>
          <w:tcPr>
            <w:tcW w:w="8939" w:type="dxa"/>
            <w:gridSpan w:val="9"/>
            <w:tcBorders>
              <w:top w:val="nil"/>
              <w:left w:val="single" w:sz="4" w:space="0" w:color="auto"/>
              <w:bottom w:val="single" w:sz="4" w:space="0" w:color="auto"/>
              <w:right w:val="single" w:sz="4" w:space="0" w:color="auto"/>
            </w:tcBorders>
            <w:shd w:val="clear" w:color="auto" w:fill="auto"/>
            <w:vAlign w:val="center"/>
          </w:tcPr>
          <w:p w14:paraId="1732A9D3" w14:textId="77777777" w:rsidR="00A91CF2" w:rsidRDefault="00A91CF2" w:rsidP="00C05773">
            <w:pPr>
              <w:pStyle w:val="Default"/>
              <w:jc w:val="both"/>
              <w:rPr>
                <w:b/>
              </w:rPr>
            </w:pPr>
          </w:p>
          <w:p w14:paraId="0DA9C8F7" w14:textId="77777777" w:rsidR="00A91CF2" w:rsidRPr="00441870" w:rsidRDefault="00A91CF2" w:rsidP="00C05773">
            <w:pPr>
              <w:pStyle w:val="Default"/>
              <w:jc w:val="both"/>
              <w:rPr>
                <w:b/>
              </w:rPr>
            </w:pPr>
            <w:r w:rsidRPr="00441870">
              <w:rPr>
                <w:b/>
              </w:rPr>
              <w:t>Referencia de normas aplicables</w:t>
            </w:r>
          </w:p>
          <w:p w14:paraId="458F5FE1" w14:textId="77777777" w:rsidR="00A91CF2" w:rsidRPr="00441870" w:rsidRDefault="00A91CF2" w:rsidP="00C05773">
            <w:pPr>
              <w:pStyle w:val="Default"/>
              <w:jc w:val="both"/>
              <w:rPr>
                <w:b/>
              </w:rPr>
            </w:pPr>
          </w:p>
          <w:p w14:paraId="285E24C3" w14:textId="31ECB8BB" w:rsidR="00A91CF2" w:rsidRPr="00441870" w:rsidRDefault="00A91CF2" w:rsidP="00C05773">
            <w:pPr>
              <w:pStyle w:val="Default"/>
              <w:jc w:val="both"/>
              <w:rPr>
                <w:b/>
              </w:rPr>
            </w:pPr>
            <w:r w:rsidRPr="00441870">
              <w:rPr>
                <w:b/>
              </w:rPr>
              <w:t xml:space="preserve">Estándar internacional. </w:t>
            </w:r>
            <w:r w:rsidRPr="00441870">
              <w:t xml:space="preserve">Sección </w:t>
            </w:r>
            <w:r>
              <w:t>1</w:t>
            </w:r>
            <w:r w:rsidR="0062246F">
              <w:t>3</w:t>
            </w:r>
            <w:r w:rsidRPr="00441870">
              <w:t>.</w:t>
            </w:r>
            <w:r w:rsidRPr="00441870">
              <w:rPr>
                <w:b/>
              </w:rPr>
              <w:t xml:space="preserve"> </w:t>
            </w:r>
          </w:p>
          <w:p w14:paraId="3EB52781" w14:textId="0DD3F046" w:rsidR="00A91CF2" w:rsidRPr="00441870" w:rsidRDefault="00A91CF2" w:rsidP="00C05773">
            <w:pPr>
              <w:pStyle w:val="Default"/>
              <w:jc w:val="both"/>
              <w:rPr>
                <w:b/>
              </w:rPr>
            </w:pPr>
            <w:r w:rsidRPr="00441870">
              <w:rPr>
                <w:b/>
              </w:rPr>
              <w:t xml:space="preserve">Nombre del estándar. </w:t>
            </w:r>
            <w:r w:rsidRPr="00441870">
              <w:rPr>
                <w:rFonts w:eastAsia="Arial"/>
                <w:spacing w:val="1"/>
                <w:lang w:val="es-ES"/>
              </w:rPr>
              <w:t xml:space="preserve"> </w:t>
            </w:r>
            <w:r w:rsidR="0062246F">
              <w:rPr>
                <w:rFonts w:eastAsia="Arial"/>
                <w:spacing w:val="1"/>
                <w:lang w:val="es-ES"/>
              </w:rPr>
              <w:t>Inventarios.</w:t>
            </w:r>
          </w:p>
          <w:p w14:paraId="46B95176" w14:textId="77777777" w:rsidR="00A91CF2" w:rsidRDefault="00A91CF2" w:rsidP="00C05773">
            <w:pPr>
              <w:pStyle w:val="Default"/>
              <w:jc w:val="both"/>
              <w:rPr>
                <w:b/>
              </w:rPr>
            </w:pPr>
          </w:p>
          <w:p w14:paraId="4E76EE4A" w14:textId="7271F415" w:rsidR="00A91CF2" w:rsidRPr="00EA3BA8" w:rsidRDefault="00A91CF2" w:rsidP="00C05773">
            <w:pPr>
              <w:pStyle w:val="Default"/>
              <w:jc w:val="both"/>
              <w:rPr>
                <w:b/>
              </w:rPr>
            </w:pPr>
            <w:r w:rsidRPr="00EA3BA8">
              <w:rPr>
                <w:b/>
              </w:rPr>
              <w:t>Definición y reconocimiento inicial de l</w:t>
            </w:r>
            <w:r w:rsidR="00D503B8">
              <w:rPr>
                <w:b/>
              </w:rPr>
              <w:t>os inventarios.</w:t>
            </w:r>
          </w:p>
          <w:p w14:paraId="43A05F3B" w14:textId="77777777" w:rsidR="00A91CF2" w:rsidRPr="00D53732" w:rsidRDefault="00A91CF2" w:rsidP="00C05773">
            <w:pPr>
              <w:pStyle w:val="Default"/>
              <w:jc w:val="both"/>
            </w:pPr>
          </w:p>
          <w:p w14:paraId="053B7104" w14:textId="1AFB9385" w:rsidR="00A91CF2" w:rsidRDefault="00D503B8" w:rsidP="00C05773">
            <w:pPr>
              <w:pStyle w:val="Default"/>
              <w:jc w:val="both"/>
            </w:pPr>
            <w:r w:rsidRPr="00D503B8">
              <w:t>Los inventarios son bienes mantenidos por COMERCIAL SAS para la venta en el curso ordinario de sus operaciones, en proceso de producción para tal venta o en forma de materiales o suministros para ser consumidos en el proceso de producción o en la prestación de servicios</w:t>
            </w:r>
            <w:r w:rsidR="000D7EB4">
              <w:t>.</w:t>
            </w:r>
          </w:p>
          <w:p w14:paraId="546B59B4" w14:textId="77777777" w:rsidR="00A91CF2" w:rsidRPr="00EA3BA8" w:rsidRDefault="00A91CF2" w:rsidP="00C05773">
            <w:pPr>
              <w:pStyle w:val="Default"/>
              <w:jc w:val="both"/>
            </w:pPr>
          </w:p>
          <w:p w14:paraId="12C7F007" w14:textId="77777777" w:rsidR="00A91CF2" w:rsidRPr="00522957" w:rsidRDefault="00A91CF2" w:rsidP="00C05773">
            <w:pPr>
              <w:pStyle w:val="Default"/>
              <w:jc w:val="both"/>
              <w:rPr>
                <w:b/>
              </w:rPr>
            </w:pPr>
            <w:r w:rsidRPr="00522957">
              <w:rPr>
                <w:b/>
              </w:rPr>
              <w:t>Medición en el reconocimiento inicial</w:t>
            </w:r>
          </w:p>
          <w:p w14:paraId="1B4FF92A" w14:textId="77777777" w:rsidR="00A91CF2" w:rsidRDefault="00A91CF2" w:rsidP="00C05773">
            <w:pPr>
              <w:pStyle w:val="Default"/>
              <w:jc w:val="both"/>
              <w:rPr>
                <w:sz w:val="23"/>
                <w:szCs w:val="23"/>
              </w:rPr>
            </w:pPr>
          </w:p>
          <w:p w14:paraId="7E24392C" w14:textId="33DAB6D5" w:rsidR="00975984" w:rsidRDefault="008C011C" w:rsidP="00C05773">
            <w:pPr>
              <w:pStyle w:val="Default"/>
              <w:jc w:val="both"/>
            </w:pPr>
            <w:r w:rsidRPr="00BD39CB">
              <w:rPr>
                <w:rFonts w:eastAsia="Times New Roman"/>
                <w:b/>
                <w:lang w:eastAsia="es-MX"/>
              </w:rPr>
              <w:t>C</w:t>
            </w:r>
            <w:r>
              <w:rPr>
                <w:rFonts w:eastAsia="Times New Roman"/>
                <w:b/>
                <w:lang w:eastAsia="es-MX"/>
              </w:rPr>
              <w:t>OMERCIAL SAS</w:t>
            </w:r>
            <w:r w:rsidRPr="00522957">
              <w:t xml:space="preserve"> </w:t>
            </w:r>
            <w:r w:rsidR="00D503B8" w:rsidRPr="00D503B8">
              <w:t>medirá los inventarios en su reconocimiento inicial por el costo de adquisición, producción o construcción. El costo comprenderá todos los costos de compra, costos directamente atribuibles para llevar los inventarios a su ubicación y condición actual, así como los costos de transformación y otros costos necesarios para llevar los inventarios a su condición y ubicación actual</w:t>
            </w:r>
            <w:r w:rsidR="000D7EB4">
              <w:t>, no formarán parte de su costo, desembolsos por adquisición de seguros, o almacenamiento a menos que sea necesario en el proceso de adquisición.</w:t>
            </w:r>
          </w:p>
          <w:p w14:paraId="68A4E9E2" w14:textId="19AD8182" w:rsidR="000D7EB4" w:rsidRDefault="000D7EB4" w:rsidP="00C05773">
            <w:pPr>
              <w:pStyle w:val="Default"/>
              <w:jc w:val="both"/>
            </w:pPr>
          </w:p>
          <w:p w14:paraId="304E1C1D" w14:textId="3F994DBE" w:rsidR="000D7EB4" w:rsidRDefault="000D7EB4" w:rsidP="00C05773">
            <w:pPr>
              <w:pStyle w:val="Default"/>
              <w:jc w:val="both"/>
            </w:pPr>
          </w:p>
          <w:p w14:paraId="77483741" w14:textId="287CB286" w:rsidR="000D7EB4" w:rsidRDefault="000D7EB4" w:rsidP="00C05773">
            <w:pPr>
              <w:pStyle w:val="Default"/>
              <w:jc w:val="both"/>
            </w:pPr>
          </w:p>
          <w:p w14:paraId="52D98689" w14:textId="77777777" w:rsidR="000D7EB4" w:rsidRDefault="000D7EB4" w:rsidP="00C05773">
            <w:pPr>
              <w:pStyle w:val="Default"/>
              <w:jc w:val="both"/>
            </w:pPr>
          </w:p>
          <w:p w14:paraId="28B282E9" w14:textId="77777777" w:rsidR="00975984" w:rsidRDefault="00975984" w:rsidP="00C05773">
            <w:pPr>
              <w:pStyle w:val="Default"/>
              <w:jc w:val="both"/>
              <w:rPr>
                <w:b/>
                <w:bCs/>
              </w:rPr>
            </w:pPr>
          </w:p>
          <w:p w14:paraId="74BE0C6F" w14:textId="4EB2494A" w:rsidR="00A91CF2" w:rsidRPr="00BA422E" w:rsidRDefault="00A91CF2" w:rsidP="00C05773">
            <w:pPr>
              <w:pStyle w:val="Default"/>
              <w:jc w:val="both"/>
              <w:rPr>
                <w:b/>
                <w:bCs/>
              </w:rPr>
            </w:pPr>
            <w:r w:rsidRPr="00BA422E">
              <w:rPr>
                <w:b/>
                <w:bCs/>
              </w:rPr>
              <w:t>Medición posterior al reconocimiento</w:t>
            </w:r>
          </w:p>
          <w:p w14:paraId="39EFE8CC" w14:textId="77777777" w:rsidR="00A91CF2" w:rsidRPr="00522957" w:rsidRDefault="00A91CF2" w:rsidP="00C05773">
            <w:pPr>
              <w:pStyle w:val="Default"/>
              <w:jc w:val="both"/>
            </w:pPr>
          </w:p>
          <w:p w14:paraId="07733815" w14:textId="3E2C6C6C" w:rsidR="00D503B8" w:rsidRDefault="00D503B8" w:rsidP="00C05773">
            <w:pPr>
              <w:pStyle w:val="Default"/>
              <w:jc w:val="both"/>
            </w:pPr>
            <w:r w:rsidRPr="00D503B8">
              <w:t>Los inventarios se medirán posteriormente al costo utilizando el método del costo promedio ponderado</w:t>
            </w:r>
            <w:r w:rsidR="000D7EB4">
              <w:t xml:space="preserve"> de las unidades existentes.</w:t>
            </w:r>
          </w:p>
          <w:p w14:paraId="5EEBB77D" w14:textId="77777777" w:rsidR="00D503B8" w:rsidRDefault="00D503B8" w:rsidP="00C05773">
            <w:pPr>
              <w:pStyle w:val="Default"/>
              <w:jc w:val="both"/>
            </w:pPr>
          </w:p>
          <w:p w14:paraId="3DB2A3B6" w14:textId="77777777" w:rsidR="00D503B8" w:rsidRDefault="00D503B8" w:rsidP="00C05773">
            <w:pPr>
              <w:pStyle w:val="Default"/>
              <w:jc w:val="both"/>
            </w:pPr>
          </w:p>
          <w:p w14:paraId="14BF2139" w14:textId="77777777" w:rsidR="00D503B8" w:rsidRPr="00D503B8" w:rsidRDefault="00D503B8" w:rsidP="00D503B8">
            <w:pPr>
              <w:pStyle w:val="Default"/>
              <w:jc w:val="both"/>
              <w:rPr>
                <w:b/>
                <w:bCs/>
              </w:rPr>
            </w:pPr>
            <w:r w:rsidRPr="00D503B8">
              <w:rPr>
                <w:b/>
                <w:bCs/>
              </w:rPr>
              <w:t>Valor Neto Realizable</w:t>
            </w:r>
          </w:p>
          <w:p w14:paraId="036A502B" w14:textId="77777777" w:rsidR="00D503B8" w:rsidRDefault="00D503B8" w:rsidP="00D503B8">
            <w:pPr>
              <w:pStyle w:val="Default"/>
              <w:jc w:val="both"/>
            </w:pPr>
          </w:p>
          <w:p w14:paraId="1AEBDCEA" w14:textId="20922789" w:rsidR="00D503B8" w:rsidRDefault="00D503B8" w:rsidP="00D503B8">
            <w:pPr>
              <w:pStyle w:val="Default"/>
              <w:jc w:val="both"/>
            </w:pPr>
            <w:r>
              <w:t xml:space="preserve">COMERCIAL SAS evaluará sus inventarios al final de cada periodo para determinar si su valor neto realizable es menor que su costo. Si se identifica que el valor neto realizable es menor, se reconocerá una </w:t>
            </w:r>
            <w:r w:rsidRPr="000D7EB4">
              <w:rPr>
                <w:b/>
                <w:bCs/>
              </w:rPr>
              <w:t>pérdida por deterioro</w:t>
            </w:r>
            <w:r>
              <w:t xml:space="preserve"> y se ajustarán los valores de los inventarios.</w:t>
            </w:r>
          </w:p>
          <w:p w14:paraId="43C2B84B" w14:textId="093F6532" w:rsidR="00A91CF2" w:rsidRDefault="00A91CF2" w:rsidP="00C05773">
            <w:pPr>
              <w:pStyle w:val="Default"/>
              <w:jc w:val="both"/>
            </w:pPr>
            <w:r w:rsidRPr="00D83122">
              <w:t xml:space="preserve"> </w:t>
            </w:r>
          </w:p>
          <w:p w14:paraId="2024FB73" w14:textId="77777777" w:rsidR="00A91CF2" w:rsidRDefault="00A91CF2" w:rsidP="00C05773">
            <w:pPr>
              <w:pStyle w:val="Default"/>
            </w:pPr>
          </w:p>
          <w:p w14:paraId="45CF3B53" w14:textId="4D0AD958" w:rsidR="00A91CF2" w:rsidRPr="00BA422E" w:rsidRDefault="00A91CF2" w:rsidP="00C05773">
            <w:pPr>
              <w:pStyle w:val="Default"/>
              <w:jc w:val="both"/>
              <w:rPr>
                <w:b/>
                <w:bCs/>
              </w:rPr>
            </w:pPr>
            <w:r w:rsidRPr="34B7084C">
              <w:rPr>
                <w:b/>
                <w:bCs/>
              </w:rPr>
              <w:t xml:space="preserve">Transferencias </w:t>
            </w:r>
          </w:p>
          <w:p w14:paraId="3A23C31B" w14:textId="77777777" w:rsidR="00A91CF2" w:rsidRDefault="00A91CF2" w:rsidP="00C05773">
            <w:pPr>
              <w:pStyle w:val="Default"/>
              <w:jc w:val="both"/>
            </w:pPr>
          </w:p>
          <w:p w14:paraId="7E18298A" w14:textId="7EDACABD" w:rsidR="00A91CF2" w:rsidRDefault="00D503B8" w:rsidP="00C05773">
            <w:pPr>
              <w:pStyle w:val="Default"/>
              <w:jc w:val="both"/>
            </w:pPr>
            <w:r w:rsidRPr="00D503B8">
              <w:t>Los inventarios no serán transferidos entre categorías de inventarios.</w:t>
            </w:r>
          </w:p>
          <w:p w14:paraId="2AA09F23" w14:textId="77777777" w:rsidR="00D503B8" w:rsidRDefault="00D503B8" w:rsidP="00C05773">
            <w:pPr>
              <w:pStyle w:val="Default"/>
              <w:jc w:val="both"/>
            </w:pPr>
          </w:p>
          <w:p w14:paraId="065F35FE" w14:textId="77777777" w:rsidR="00975984" w:rsidRDefault="00975984" w:rsidP="00C05773">
            <w:pPr>
              <w:pStyle w:val="Default"/>
              <w:jc w:val="both"/>
              <w:rPr>
                <w:b/>
                <w:bCs/>
              </w:rPr>
            </w:pPr>
          </w:p>
          <w:p w14:paraId="7FFE93EE" w14:textId="404DDE8A" w:rsidR="00A91CF2" w:rsidRPr="00BA422E" w:rsidRDefault="00A91CF2" w:rsidP="00C05773">
            <w:pPr>
              <w:pStyle w:val="Default"/>
              <w:jc w:val="both"/>
              <w:rPr>
                <w:b/>
                <w:bCs/>
              </w:rPr>
            </w:pPr>
            <w:r w:rsidRPr="00BA422E">
              <w:rPr>
                <w:b/>
                <w:bCs/>
              </w:rPr>
              <w:t>Información a revelar</w:t>
            </w:r>
          </w:p>
          <w:p w14:paraId="647E1AF4" w14:textId="77777777" w:rsidR="00A91CF2" w:rsidRDefault="00A91CF2" w:rsidP="00C05773">
            <w:pPr>
              <w:pStyle w:val="Default"/>
              <w:jc w:val="both"/>
            </w:pPr>
          </w:p>
          <w:p w14:paraId="27928F4B" w14:textId="77777777" w:rsidR="00975984" w:rsidRPr="00975984" w:rsidRDefault="00975984" w:rsidP="00975984">
            <w:pPr>
              <w:pStyle w:val="Default"/>
              <w:jc w:val="both"/>
              <w:rPr>
                <w:rFonts w:eastAsia="Times New Roman"/>
                <w:lang w:eastAsia="es-MX"/>
              </w:rPr>
            </w:pPr>
            <w:r w:rsidRPr="00975984">
              <w:rPr>
                <w:rFonts w:eastAsia="Times New Roman"/>
                <w:b/>
                <w:bCs/>
                <w:lang w:eastAsia="es-MX"/>
              </w:rPr>
              <w:t xml:space="preserve">COMERCIAL SAS </w:t>
            </w:r>
            <w:r w:rsidRPr="00975984">
              <w:rPr>
                <w:rFonts w:eastAsia="Times New Roman"/>
                <w:lang w:eastAsia="es-MX"/>
              </w:rPr>
              <w:t>revelará la siguiente información relacionada con sus inventarios:</w:t>
            </w:r>
          </w:p>
          <w:p w14:paraId="3C8FFF85" w14:textId="77777777" w:rsidR="00975984" w:rsidRPr="00975984" w:rsidRDefault="00975984" w:rsidP="00975984">
            <w:pPr>
              <w:pStyle w:val="Default"/>
              <w:jc w:val="both"/>
              <w:rPr>
                <w:rFonts w:eastAsia="Times New Roman"/>
                <w:lang w:eastAsia="es-MX"/>
              </w:rPr>
            </w:pPr>
          </w:p>
          <w:p w14:paraId="7B4A71E5" w14:textId="77777777" w:rsidR="00975984" w:rsidRPr="00975984" w:rsidRDefault="00975984" w:rsidP="00975984">
            <w:pPr>
              <w:pStyle w:val="Default"/>
              <w:numPr>
                <w:ilvl w:val="0"/>
                <w:numId w:val="3"/>
              </w:numPr>
              <w:jc w:val="both"/>
              <w:rPr>
                <w:rFonts w:eastAsia="Times New Roman"/>
                <w:lang w:eastAsia="es-MX"/>
              </w:rPr>
            </w:pPr>
            <w:r w:rsidRPr="00975984">
              <w:rPr>
                <w:rFonts w:eastAsia="Times New Roman"/>
                <w:lang w:eastAsia="es-MX"/>
              </w:rPr>
              <w:t>Los métodos utilizados para determinar el costo de los inventarios.</w:t>
            </w:r>
          </w:p>
          <w:p w14:paraId="77387B56" w14:textId="77777777" w:rsidR="00975984" w:rsidRDefault="00975984" w:rsidP="00975984">
            <w:pPr>
              <w:pStyle w:val="Default"/>
              <w:jc w:val="both"/>
              <w:rPr>
                <w:rFonts w:eastAsia="Times New Roman"/>
                <w:lang w:eastAsia="es-MX"/>
              </w:rPr>
            </w:pPr>
          </w:p>
          <w:p w14:paraId="72006390" w14:textId="561B7A87" w:rsidR="00975984" w:rsidRPr="00975984" w:rsidRDefault="00975984" w:rsidP="00975984">
            <w:pPr>
              <w:pStyle w:val="Default"/>
              <w:numPr>
                <w:ilvl w:val="0"/>
                <w:numId w:val="3"/>
              </w:numPr>
              <w:jc w:val="both"/>
              <w:rPr>
                <w:rFonts w:eastAsia="Times New Roman"/>
                <w:lang w:eastAsia="es-MX"/>
              </w:rPr>
            </w:pPr>
            <w:r w:rsidRPr="00975984">
              <w:rPr>
                <w:rFonts w:eastAsia="Times New Roman"/>
                <w:lang w:eastAsia="es-MX"/>
              </w:rPr>
              <w:t>La cantidad de inventarios reconocida como gasto en el periodo.</w:t>
            </w:r>
          </w:p>
          <w:p w14:paraId="5AC71A8B" w14:textId="77777777" w:rsidR="00975984" w:rsidRDefault="00975984" w:rsidP="00975984">
            <w:pPr>
              <w:pStyle w:val="Default"/>
              <w:jc w:val="both"/>
              <w:rPr>
                <w:rFonts w:eastAsia="Times New Roman"/>
                <w:lang w:eastAsia="es-MX"/>
              </w:rPr>
            </w:pPr>
          </w:p>
          <w:p w14:paraId="13F87171" w14:textId="4CE07A78" w:rsidR="00975984" w:rsidRPr="00975984" w:rsidRDefault="00975984" w:rsidP="00975984">
            <w:pPr>
              <w:pStyle w:val="Default"/>
              <w:numPr>
                <w:ilvl w:val="0"/>
                <w:numId w:val="3"/>
              </w:numPr>
              <w:jc w:val="both"/>
              <w:rPr>
                <w:rFonts w:eastAsia="Times New Roman"/>
                <w:lang w:eastAsia="es-MX"/>
              </w:rPr>
            </w:pPr>
            <w:r w:rsidRPr="00975984">
              <w:rPr>
                <w:rFonts w:eastAsia="Times New Roman"/>
                <w:lang w:eastAsia="es-MX"/>
              </w:rPr>
              <w:t>La cantidad de cualquier reversión de pérdida por deterioro de inventarios reconocida como ingreso en el periodo.</w:t>
            </w:r>
          </w:p>
          <w:p w14:paraId="23D150D6" w14:textId="77777777" w:rsidR="00975984" w:rsidRDefault="00975984" w:rsidP="00975984">
            <w:pPr>
              <w:pStyle w:val="Default"/>
              <w:jc w:val="both"/>
              <w:rPr>
                <w:rFonts w:eastAsia="Times New Roman"/>
                <w:lang w:eastAsia="es-MX"/>
              </w:rPr>
            </w:pPr>
          </w:p>
          <w:p w14:paraId="704907C5" w14:textId="2352353E" w:rsidR="00975984" w:rsidRPr="00975984" w:rsidRDefault="00975984" w:rsidP="00975984">
            <w:pPr>
              <w:pStyle w:val="Default"/>
              <w:numPr>
                <w:ilvl w:val="0"/>
                <w:numId w:val="3"/>
              </w:numPr>
              <w:jc w:val="both"/>
            </w:pPr>
            <w:r w:rsidRPr="00975984">
              <w:rPr>
                <w:rFonts w:eastAsia="Times New Roman"/>
                <w:lang w:eastAsia="es-MX"/>
              </w:rPr>
              <w:t>Los importes totales reconocidos como gastos por deterioro de inventarios.</w:t>
            </w:r>
          </w:p>
          <w:p w14:paraId="31D86ADD" w14:textId="77777777" w:rsidR="000D1428" w:rsidRPr="000D1428" w:rsidRDefault="000D1428" w:rsidP="000D1428">
            <w:pPr>
              <w:pStyle w:val="Default"/>
              <w:jc w:val="both"/>
              <w:rPr>
                <w:b/>
              </w:rPr>
            </w:pPr>
          </w:p>
          <w:p w14:paraId="56887D1F" w14:textId="77777777" w:rsidR="000D1428" w:rsidRPr="000D1428" w:rsidRDefault="000D1428" w:rsidP="000D1428">
            <w:pPr>
              <w:pStyle w:val="Default"/>
              <w:jc w:val="both"/>
              <w:rPr>
                <w:b/>
              </w:rPr>
            </w:pPr>
          </w:p>
          <w:p w14:paraId="121A39A9" w14:textId="7FD19C42" w:rsidR="00975984" w:rsidRDefault="000D1428" w:rsidP="00C05773">
            <w:pPr>
              <w:pStyle w:val="Default"/>
              <w:jc w:val="both"/>
              <w:rPr>
                <w:b/>
              </w:rPr>
            </w:pPr>
            <w:r>
              <w:rPr>
                <w:b/>
              </w:rPr>
              <w:t xml:space="preserve">Controles contables </w:t>
            </w:r>
          </w:p>
          <w:p w14:paraId="27648C5C" w14:textId="77777777" w:rsidR="000D1428" w:rsidRDefault="000D1428" w:rsidP="00C05773">
            <w:pPr>
              <w:pStyle w:val="Default"/>
              <w:jc w:val="both"/>
              <w:rPr>
                <w:b/>
              </w:rPr>
            </w:pPr>
          </w:p>
          <w:p w14:paraId="017E0229" w14:textId="77777777" w:rsidR="000D1428" w:rsidRDefault="000D1428" w:rsidP="00C05773">
            <w:pPr>
              <w:pStyle w:val="Default"/>
              <w:jc w:val="both"/>
              <w:rPr>
                <w:bCs/>
              </w:rPr>
            </w:pPr>
            <w:r w:rsidRPr="000D1428">
              <w:rPr>
                <w:bCs/>
              </w:rPr>
              <w:t>Los controles contables de los saldos de los inventarios deben estar encaminados a determinar que</w:t>
            </w:r>
            <w:r>
              <w:rPr>
                <w:bCs/>
              </w:rPr>
              <w:t>:</w:t>
            </w:r>
          </w:p>
          <w:p w14:paraId="2F50C9AF" w14:textId="77777777" w:rsidR="000D1428" w:rsidRDefault="000D1428" w:rsidP="00C05773">
            <w:pPr>
              <w:pStyle w:val="Default"/>
              <w:jc w:val="both"/>
              <w:rPr>
                <w:bCs/>
              </w:rPr>
            </w:pPr>
          </w:p>
          <w:p w14:paraId="76A50475" w14:textId="77777777" w:rsidR="000D1428" w:rsidRDefault="000D1428" w:rsidP="000D1428">
            <w:pPr>
              <w:pStyle w:val="Default"/>
              <w:numPr>
                <w:ilvl w:val="0"/>
                <w:numId w:val="4"/>
              </w:numPr>
              <w:jc w:val="both"/>
              <w:rPr>
                <w:bCs/>
              </w:rPr>
            </w:pPr>
            <w:r>
              <w:rPr>
                <w:bCs/>
              </w:rPr>
              <w:t>L</w:t>
            </w:r>
            <w:r w:rsidRPr="000D1428">
              <w:rPr>
                <w:bCs/>
              </w:rPr>
              <w:t>os consumos salidas retiros y traslados se contabilizan de acuerdo con esta política contable</w:t>
            </w:r>
            <w:r>
              <w:rPr>
                <w:bCs/>
              </w:rPr>
              <w:t>.</w:t>
            </w:r>
          </w:p>
          <w:p w14:paraId="0A59454B" w14:textId="77777777" w:rsidR="000D1428" w:rsidRDefault="000D1428" w:rsidP="000D1428">
            <w:pPr>
              <w:pStyle w:val="Default"/>
              <w:numPr>
                <w:ilvl w:val="0"/>
                <w:numId w:val="4"/>
              </w:numPr>
              <w:jc w:val="both"/>
              <w:rPr>
                <w:bCs/>
              </w:rPr>
            </w:pPr>
            <w:r>
              <w:rPr>
                <w:bCs/>
              </w:rPr>
              <w:t>D</w:t>
            </w:r>
            <w:r w:rsidRPr="000D1428">
              <w:rPr>
                <w:bCs/>
              </w:rPr>
              <w:t>eterminar que están adecuadamente identificados determinar que solo se está en capitalizando las erogaciones establecidas de acuerdo con esta política contable</w:t>
            </w:r>
            <w:r>
              <w:rPr>
                <w:bCs/>
              </w:rPr>
              <w:t>.</w:t>
            </w:r>
          </w:p>
          <w:p w14:paraId="0673447B" w14:textId="77777777" w:rsidR="000D1428" w:rsidRDefault="000D1428" w:rsidP="000D1428">
            <w:pPr>
              <w:pStyle w:val="Default"/>
              <w:numPr>
                <w:ilvl w:val="0"/>
                <w:numId w:val="4"/>
              </w:numPr>
              <w:jc w:val="both"/>
              <w:rPr>
                <w:bCs/>
              </w:rPr>
            </w:pPr>
            <w:r>
              <w:rPr>
                <w:bCs/>
              </w:rPr>
              <w:t>V</w:t>
            </w:r>
            <w:r w:rsidRPr="000D1428">
              <w:rPr>
                <w:bCs/>
              </w:rPr>
              <w:t>erificar que la conciliación de los inventarios se realice cada seis meses y que sus diferen</w:t>
            </w:r>
            <w:r>
              <w:rPr>
                <w:bCs/>
              </w:rPr>
              <w:t>cias</w:t>
            </w:r>
            <w:r w:rsidRPr="000D1428">
              <w:rPr>
                <w:bCs/>
              </w:rPr>
              <w:t xml:space="preserve"> estén debidamente soportadas</w:t>
            </w:r>
            <w:r>
              <w:rPr>
                <w:bCs/>
              </w:rPr>
              <w:t>.</w:t>
            </w:r>
          </w:p>
          <w:p w14:paraId="6AA62F54" w14:textId="3A4F6962" w:rsidR="000D1428" w:rsidRDefault="000D1428" w:rsidP="000D1428">
            <w:pPr>
              <w:pStyle w:val="Default"/>
              <w:numPr>
                <w:ilvl w:val="0"/>
                <w:numId w:val="4"/>
              </w:numPr>
              <w:jc w:val="both"/>
              <w:rPr>
                <w:bCs/>
              </w:rPr>
            </w:pPr>
            <w:r>
              <w:rPr>
                <w:bCs/>
              </w:rPr>
              <w:t>Det</w:t>
            </w:r>
            <w:r w:rsidRPr="000D1428">
              <w:rPr>
                <w:bCs/>
              </w:rPr>
              <w:t>erminar que se han valorado en forma correcta verificar que cada movimiento de inventario se está debidamente soportado y autorizado por el responsable del inventario</w:t>
            </w:r>
            <w:r>
              <w:rPr>
                <w:bCs/>
              </w:rPr>
              <w:t>.</w:t>
            </w:r>
          </w:p>
          <w:p w14:paraId="138AA527" w14:textId="77777777" w:rsidR="000D1428" w:rsidRPr="000D1428" w:rsidRDefault="000D1428" w:rsidP="000D1428">
            <w:pPr>
              <w:pStyle w:val="Default"/>
              <w:jc w:val="both"/>
              <w:rPr>
                <w:bCs/>
              </w:rPr>
            </w:pPr>
          </w:p>
          <w:p w14:paraId="368BE7E1" w14:textId="77777777" w:rsidR="00975984" w:rsidRDefault="00975984" w:rsidP="00C05773">
            <w:pPr>
              <w:pStyle w:val="Default"/>
              <w:jc w:val="both"/>
              <w:rPr>
                <w:b/>
              </w:rPr>
            </w:pPr>
          </w:p>
          <w:p w14:paraId="1F804475" w14:textId="60725292" w:rsidR="00A91CF2" w:rsidRPr="00157758" w:rsidRDefault="00A91CF2" w:rsidP="00C05773">
            <w:pPr>
              <w:pStyle w:val="Default"/>
              <w:jc w:val="both"/>
              <w:rPr>
                <w:b/>
              </w:rPr>
            </w:pPr>
            <w:r w:rsidRPr="00157758">
              <w:rPr>
                <w:b/>
              </w:rPr>
              <w:lastRenderedPageBreak/>
              <w:t>Presentación</w:t>
            </w:r>
          </w:p>
          <w:p w14:paraId="16CF0543" w14:textId="77777777" w:rsidR="00A91CF2" w:rsidRDefault="00A91CF2" w:rsidP="00C05773">
            <w:pPr>
              <w:pStyle w:val="Default"/>
              <w:jc w:val="both"/>
            </w:pPr>
          </w:p>
          <w:p w14:paraId="53AF0BB1" w14:textId="77777777" w:rsidR="00975984" w:rsidRDefault="00975984" w:rsidP="00975984">
            <w:pPr>
              <w:pStyle w:val="Default"/>
              <w:jc w:val="both"/>
            </w:pPr>
            <w:r>
              <w:t>La empresa presentará los inventarios como activos corrientes en su balance general.</w:t>
            </w:r>
          </w:p>
          <w:p w14:paraId="7D605FA9" w14:textId="77777777" w:rsidR="00975984" w:rsidRDefault="00975984" w:rsidP="00975984">
            <w:pPr>
              <w:pStyle w:val="Default"/>
              <w:jc w:val="both"/>
            </w:pPr>
          </w:p>
          <w:p w14:paraId="7542D8D7" w14:textId="77777777" w:rsidR="00975984" w:rsidRDefault="00975984" w:rsidP="00975984">
            <w:pPr>
              <w:pStyle w:val="Default"/>
              <w:jc w:val="both"/>
            </w:pPr>
            <w:r>
              <w:t>En el estado de resultados, los costos de los inventarios vendidos se reconocerán como un gasto en el periodo en que los ingresos relacionados se reconozcan.</w:t>
            </w:r>
          </w:p>
          <w:p w14:paraId="2085B974" w14:textId="77777777" w:rsidR="00975984" w:rsidRDefault="00975984" w:rsidP="00975984">
            <w:pPr>
              <w:pStyle w:val="Default"/>
              <w:jc w:val="both"/>
            </w:pPr>
          </w:p>
          <w:p w14:paraId="08CCD57F" w14:textId="77777777" w:rsidR="00A91CF2" w:rsidRDefault="00975984" w:rsidP="00975984">
            <w:pPr>
              <w:spacing w:after="0" w:line="240" w:lineRule="auto"/>
              <w:jc w:val="both"/>
              <w:rPr>
                <w:rFonts w:ascii="Arial" w:eastAsia="Calibri" w:hAnsi="Arial" w:cs="Arial"/>
                <w:color w:val="000000"/>
                <w:sz w:val="24"/>
                <w:szCs w:val="24"/>
                <w:lang w:val="es-ES_tradnl" w:eastAsia="es-ES_tradnl"/>
              </w:rPr>
            </w:pPr>
            <w:r w:rsidRPr="00975984">
              <w:rPr>
                <w:rFonts w:ascii="Arial" w:eastAsia="Calibri" w:hAnsi="Arial" w:cs="Arial"/>
                <w:color w:val="000000"/>
                <w:sz w:val="24"/>
                <w:szCs w:val="24"/>
                <w:lang w:val="es-ES_tradnl" w:eastAsia="es-ES_tradnl"/>
              </w:rPr>
              <w:t>En el estado de flujos de efectivo, los pagos realizados para adquirir inventarios se presentarán como actividades de operación</w:t>
            </w:r>
            <w:r>
              <w:rPr>
                <w:rFonts w:ascii="Arial" w:eastAsia="Calibri" w:hAnsi="Arial" w:cs="Arial"/>
                <w:color w:val="000000"/>
                <w:sz w:val="24"/>
                <w:szCs w:val="24"/>
                <w:lang w:val="es-ES_tradnl" w:eastAsia="es-ES_tradnl"/>
              </w:rPr>
              <w:t>.</w:t>
            </w:r>
          </w:p>
          <w:p w14:paraId="3836795E" w14:textId="7BDF2F98" w:rsidR="00975984" w:rsidRDefault="00975984" w:rsidP="00975984">
            <w:pPr>
              <w:spacing w:after="0" w:line="240" w:lineRule="auto"/>
              <w:jc w:val="both"/>
              <w:rPr>
                <w:rFonts w:ascii="Arial Narrow" w:eastAsia="Times New Roman" w:hAnsi="Arial Narrow"/>
                <w:color w:val="000000"/>
                <w:sz w:val="24"/>
                <w:szCs w:val="24"/>
                <w:lang w:val="es-ES_tradnl" w:eastAsia="es-MX"/>
              </w:rPr>
            </w:pPr>
          </w:p>
          <w:p w14:paraId="6163FE15" w14:textId="77777777" w:rsidR="000D1428" w:rsidRPr="000D1428" w:rsidRDefault="000D1428" w:rsidP="000D1428">
            <w:pPr>
              <w:pStyle w:val="Default"/>
              <w:jc w:val="both"/>
              <w:rPr>
                <w:bCs/>
              </w:rPr>
            </w:pPr>
          </w:p>
          <w:p w14:paraId="54176011" w14:textId="16E00319" w:rsidR="000D1428" w:rsidRPr="000D1428" w:rsidRDefault="000D1428" w:rsidP="000D1428">
            <w:pPr>
              <w:pStyle w:val="Default"/>
              <w:jc w:val="both"/>
              <w:rPr>
                <w:bCs/>
              </w:rPr>
            </w:pPr>
            <w:r w:rsidRPr="000D1428">
              <w:rPr>
                <w:bCs/>
              </w:rPr>
              <w:t xml:space="preserve">La información sobre el valor registrado en los libros contables de las distintas categorías de inventarios, así como los cambios significativos en estas cantidades durante el período, será </w:t>
            </w:r>
            <w:r w:rsidR="00564973">
              <w:rPr>
                <w:bCs/>
              </w:rPr>
              <w:t>relevante</w:t>
            </w:r>
            <w:r w:rsidRPr="000D1428">
              <w:rPr>
                <w:bCs/>
              </w:rPr>
              <w:t xml:space="preserve"> para los usuarios de los estados financieros. Una forma común de clasificar los inventarios es diferenciar entre mercancías, suministros para la producción, materias primas, productos en proceso y productos terminados.</w:t>
            </w:r>
          </w:p>
          <w:p w14:paraId="1FCD505B" w14:textId="77777777" w:rsidR="000D1428" w:rsidRPr="000D1428" w:rsidRDefault="000D1428" w:rsidP="000D1428">
            <w:pPr>
              <w:pStyle w:val="Default"/>
              <w:jc w:val="both"/>
              <w:rPr>
                <w:bCs/>
              </w:rPr>
            </w:pPr>
          </w:p>
          <w:p w14:paraId="22908748" w14:textId="77777777" w:rsidR="000D1428" w:rsidRPr="000D1428" w:rsidRDefault="000D1428" w:rsidP="000D1428">
            <w:pPr>
              <w:pStyle w:val="Default"/>
              <w:jc w:val="both"/>
              <w:rPr>
                <w:bCs/>
              </w:rPr>
            </w:pPr>
            <w:r w:rsidRPr="000D1428">
              <w:rPr>
                <w:bCs/>
              </w:rPr>
              <w:t>El monto de los inventarios que se ha contabilizado como gasto en el período, conocido comúnmente como el costo de ventas, abarca los gastos asociados a los productos que se han vendido, incluyendo los costos directos incurridos en su fabricación, así como los gastos indirectos no asignados y los costos de producción de los inventarios a valores inusuales. En situaciones específicas de la entidad, podría ser necesario considerar otros gastos, como los relacionados con la distribución de los productos.</w:t>
            </w:r>
          </w:p>
          <w:p w14:paraId="1DA28EEE" w14:textId="77777777" w:rsidR="000D1428" w:rsidRPr="000D1428" w:rsidRDefault="000D1428" w:rsidP="000D1428">
            <w:pPr>
              <w:pStyle w:val="Default"/>
              <w:jc w:val="both"/>
              <w:rPr>
                <w:bCs/>
                <w:i/>
                <w:iCs/>
              </w:rPr>
            </w:pPr>
          </w:p>
          <w:p w14:paraId="3C31E67C" w14:textId="77777777" w:rsidR="000D1428" w:rsidRDefault="000D1428" w:rsidP="00975984">
            <w:pPr>
              <w:spacing w:after="0" w:line="240" w:lineRule="auto"/>
              <w:jc w:val="both"/>
              <w:rPr>
                <w:rFonts w:ascii="Arial Narrow" w:eastAsia="Times New Roman" w:hAnsi="Arial Narrow"/>
                <w:color w:val="000000"/>
                <w:sz w:val="24"/>
                <w:szCs w:val="24"/>
                <w:lang w:val="es-ES_tradnl" w:eastAsia="es-MX"/>
              </w:rPr>
            </w:pPr>
          </w:p>
          <w:p w14:paraId="61232469" w14:textId="1E5183B5" w:rsidR="00020DB3" w:rsidRPr="00B7431F" w:rsidRDefault="00020DB3" w:rsidP="00975984">
            <w:pPr>
              <w:spacing w:after="0" w:line="240" w:lineRule="auto"/>
              <w:jc w:val="both"/>
              <w:rPr>
                <w:rFonts w:ascii="Arial Narrow" w:eastAsia="Times New Roman" w:hAnsi="Arial Narrow"/>
                <w:color w:val="000000"/>
                <w:sz w:val="24"/>
                <w:szCs w:val="24"/>
                <w:lang w:val="es-ES_tradnl" w:eastAsia="es-MX"/>
              </w:rPr>
            </w:pPr>
          </w:p>
        </w:tc>
      </w:tr>
      <w:tr w:rsidR="00A91CF2" w:rsidRPr="00003AE9" w14:paraId="3AFD67DD" w14:textId="77777777" w:rsidTr="00121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00" w:firstRow="0" w:lastRow="0" w:firstColumn="0" w:lastColumn="0" w:noHBand="0" w:noVBand="1"/>
        </w:tblPrEx>
        <w:trPr>
          <w:jc w:val="center"/>
        </w:trPr>
        <w:tc>
          <w:tcPr>
            <w:tcW w:w="4367" w:type="dxa"/>
            <w:gridSpan w:val="4"/>
            <w:tcBorders>
              <w:top w:val="single" w:sz="4" w:space="0" w:color="auto"/>
              <w:left w:val="single" w:sz="4" w:space="0" w:color="auto"/>
              <w:bottom w:val="single" w:sz="4" w:space="0" w:color="auto"/>
              <w:right w:val="single" w:sz="4" w:space="0" w:color="auto"/>
            </w:tcBorders>
            <w:shd w:val="clear" w:color="auto" w:fill="4BACC6"/>
          </w:tcPr>
          <w:p w14:paraId="457093A0" w14:textId="77777777" w:rsidR="00A91CF2" w:rsidRPr="00CC6D5A" w:rsidRDefault="00A91CF2" w:rsidP="00C05773">
            <w:pPr>
              <w:spacing w:after="0" w:line="240" w:lineRule="auto"/>
              <w:rPr>
                <w:rFonts w:ascii="Arial" w:hAnsi="Arial" w:cs="Arial"/>
                <w:b/>
                <w:sz w:val="24"/>
                <w:szCs w:val="24"/>
              </w:rPr>
            </w:pPr>
            <w:r w:rsidRPr="00CC6D5A">
              <w:rPr>
                <w:rFonts w:ascii="Arial" w:hAnsi="Arial" w:cs="Arial"/>
                <w:b/>
                <w:sz w:val="24"/>
                <w:szCs w:val="24"/>
              </w:rPr>
              <w:lastRenderedPageBreak/>
              <w:t>Fecha última Revisión</w:t>
            </w:r>
          </w:p>
        </w:tc>
        <w:tc>
          <w:tcPr>
            <w:tcW w:w="4572" w:type="dxa"/>
            <w:gridSpan w:val="5"/>
            <w:tcBorders>
              <w:top w:val="single" w:sz="4" w:space="0" w:color="auto"/>
              <w:left w:val="single" w:sz="4" w:space="0" w:color="auto"/>
              <w:bottom w:val="single" w:sz="4" w:space="0" w:color="auto"/>
              <w:right w:val="single" w:sz="4" w:space="0" w:color="auto"/>
            </w:tcBorders>
            <w:shd w:val="clear" w:color="auto" w:fill="auto"/>
          </w:tcPr>
          <w:p w14:paraId="0ADC2829" w14:textId="77777777" w:rsidR="00A91CF2" w:rsidRPr="00003AE9" w:rsidRDefault="00A91CF2" w:rsidP="00C05773">
            <w:pPr>
              <w:spacing w:after="0" w:line="240" w:lineRule="auto"/>
              <w:rPr>
                <w:rFonts w:ascii="Arial Narrow" w:hAnsi="Arial Narrow"/>
                <w:sz w:val="24"/>
                <w:szCs w:val="24"/>
              </w:rPr>
            </w:pPr>
          </w:p>
        </w:tc>
      </w:tr>
      <w:tr w:rsidR="00A91CF2" w:rsidRPr="00003AE9" w14:paraId="1C86A9BC" w14:textId="77777777" w:rsidTr="00121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00" w:firstRow="0" w:lastRow="0" w:firstColumn="0" w:lastColumn="0" w:noHBand="0" w:noVBand="1"/>
        </w:tblPrEx>
        <w:trPr>
          <w:jc w:val="center"/>
        </w:trPr>
        <w:tc>
          <w:tcPr>
            <w:tcW w:w="4367" w:type="dxa"/>
            <w:gridSpan w:val="4"/>
            <w:tcBorders>
              <w:top w:val="single" w:sz="4" w:space="0" w:color="auto"/>
              <w:left w:val="single" w:sz="4" w:space="0" w:color="auto"/>
              <w:bottom w:val="single" w:sz="4" w:space="0" w:color="auto"/>
              <w:right w:val="single" w:sz="4" w:space="0" w:color="auto"/>
            </w:tcBorders>
            <w:shd w:val="clear" w:color="auto" w:fill="4BACC6"/>
          </w:tcPr>
          <w:p w14:paraId="26866141" w14:textId="77777777" w:rsidR="00A91CF2" w:rsidRPr="00CC6D5A" w:rsidRDefault="00A91CF2" w:rsidP="00C05773">
            <w:pPr>
              <w:spacing w:after="0" w:line="240" w:lineRule="auto"/>
              <w:rPr>
                <w:rFonts w:ascii="Arial" w:hAnsi="Arial" w:cs="Arial"/>
                <w:b/>
                <w:sz w:val="24"/>
                <w:szCs w:val="24"/>
              </w:rPr>
            </w:pPr>
            <w:r w:rsidRPr="00CC6D5A">
              <w:rPr>
                <w:rFonts w:ascii="Arial" w:hAnsi="Arial" w:cs="Arial"/>
                <w:b/>
                <w:sz w:val="24"/>
                <w:szCs w:val="24"/>
              </w:rPr>
              <w:t xml:space="preserve">Redactó: </w:t>
            </w:r>
          </w:p>
        </w:tc>
        <w:tc>
          <w:tcPr>
            <w:tcW w:w="4572" w:type="dxa"/>
            <w:gridSpan w:val="5"/>
            <w:tcBorders>
              <w:top w:val="single" w:sz="4" w:space="0" w:color="auto"/>
              <w:left w:val="single" w:sz="4" w:space="0" w:color="auto"/>
              <w:bottom w:val="single" w:sz="4" w:space="0" w:color="auto"/>
              <w:right w:val="single" w:sz="4" w:space="0" w:color="auto"/>
            </w:tcBorders>
            <w:shd w:val="clear" w:color="auto" w:fill="auto"/>
          </w:tcPr>
          <w:p w14:paraId="0C4DB789" w14:textId="658132C5" w:rsidR="00A91CF2" w:rsidRPr="00003AE9" w:rsidRDefault="00A91CF2" w:rsidP="00C05773">
            <w:pPr>
              <w:spacing w:after="0" w:line="240" w:lineRule="auto"/>
              <w:rPr>
                <w:rFonts w:ascii="Arial Narrow" w:hAnsi="Arial Narrow"/>
                <w:sz w:val="24"/>
                <w:szCs w:val="24"/>
              </w:rPr>
            </w:pPr>
            <w:r w:rsidRPr="00F566F9">
              <w:rPr>
                <w:rFonts w:ascii="Arial Narrow" w:hAnsi="Arial Narrow"/>
                <w:b/>
                <w:sz w:val="24"/>
                <w:szCs w:val="24"/>
              </w:rPr>
              <w:t>MEB</w:t>
            </w:r>
          </w:p>
        </w:tc>
      </w:tr>
      <w:tr w:rsidR="00A91CF2" w:rsidRPr="00003AE9" w14:paraId="2654B11F" w14:textId="77777777" w:rsidTr="00121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00" w:firstRow="0" w:lastRow="0" w:firstColumn="0" w:lastColumn="0" w:noHBand="0" w:noVBand="1"/>
        </w:tblPrEx>
        <w:trPr>
          <w:jc w:val="center"/>
        </w:trPr>
        <w:tc>
          <w:tcPr>
            <w:tcW w:w="4367" w:type="dxa"/>
            <w:gridSpan w:val="4"/>
            <w:tcBorders>
              <w:top w:val="single" w:sz="4" w:space="0" w:color="auto"/>
              <w:left w:val="single" w:sz="4" w:space="0" w:color="auto"/>
              <w:bottom w:val="single" w:sz="4" w:space="0" w:color="auto"/>
              <w:right w:val="single" w:sz="4" w:space="0" w:color="auto"/>
            </w:tcBorders>
            <w:shd w:val="clear" w:color="auto" w:fill="4BACC6"/>
          </w:tcPr>
          <w:p w14:paraId="752A5627" w14:textId="77777777" w:rsidR="00A91CF2" w:rsidRPr="00CC6D5A" w:rsidRDefault="00A91CF2" w:rsidP="00C05773">
            <w:pPr>
              <w:spacing w:after="0" w:line="240" w:lineRule="auto"/>
              <w:rPr>
                <w:rFonts w:ascii="Arial" w:hAnsi="Arial" w:cs="Arial"/>
                <w:b/>
                <w:sz w:val="24"/>
                <w:szCs w:val="24"/>
              </w:rPr>
            </w:pPr>
            <w:r w:rsidRPr="00CC6D5A">
              <w:rPr>
                <w:rFonts w:ascii="Arial" w:hAnsi="Arial" w:cs="Arial"/>
                <w:b/>
                <w:sz w:val="24"/>
                <w:szCs w:val="24"/>
              </w:rPr>
              <w:t xml:space="preserve">Aprobó </w:t>
            </w:r>
          </w:p>
        </w:tc>
        <w:tc>
          <w:tcPr>
            <w:tcW w:w="4572" w:type="dxa"/>
            <w:gridSpan w:val="5"/>
            <w:tcBorders>
              <w:top w:val="single" w:sz="4" w:space="0" w:color="auto"/>
              <w:left w:val="single" w:sz="4" w:space="0" w:color="auto"/>
              <w:bottom w:val="single" w:sz="4" w:space="0" w:color="auto"/>
              <w:right w:val="single" w:sz="4" w:space="0" w:color="auto"/>
            </w:tcBorders>
            <w:shd w:val="clear" w:color="auto" w:fill="auto"/>
          </w:tcPr>
          <w:p w14:paraId="74381398" w14:textId="77777777" w:rsidR="00A91CF2" w:rsidRPr="00003AE9" w:rsidRDefault="00A91CF2" w:rsidP="00C05773">
            <w:pPr>
              <w:spacing w:after="0" w:line="240" w:lineRule="auto"/>
              <w:rPr>
                <w:rFonts w:ascii="Arial Narrow" w:hAnsi="Arial Narrow"/>
                <w:sz w:val="24"/>
                <w:szCs w:val="24"/>
              </w:rPr>
            </w:pPr>
          </w:p>
        </w:tc>
      </w:tr>
      <w:tr w:rsidR="00A91CF2" w:rsidRPr="00003AE9" w14:paraId="3842FEFE" w14:textId="77777777" w:rsidTr="00121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00" w:firstRow="0" w:lastRow="0" w:firstColumn="0" w:lastColumn="0" w:noHBand="0" w:noVBand="1"/>
        </w:tblPrEx>
        <w:trPr>
          <w:jc w:val="center"/>
        </w:trPr>
        <w:tc>
          <w:tcPr>
            <w:tcW w:w="4367" w:type="dxa"/>
            <w:gridSpan w:val="4"/>
            <w:tcBorders>
              <w:top w:val="single" w:sz="4" w:space="0" w:color="auto"/>
              <w:left w:val="single" w:sz="4" w:space="0" w:color="auto"/>
              <w:bottom w:val="single" w:sz="4" w:space="0" w:color="auto"/>
              <w:right w:val="single" w:sz="4" w:space="0" w:color="auto"/>
            </w:tcBorders>
            <w:shd w:val="clear" w:color="auto" w:fill="4BACC6"/>
          </w:tcPr>
          <w:p w14:paraId="1A1BB254" w14:textId="77777777" w:rsidR="00A91CF2" w:rsidRPr="00CC6D5A" w:rsidRDefault="00A91CF2" w:rsidP="00C05773">
            <w:pPr>
              <w:spacing w:after="0" w:line="240" w:lineRule="auto"/>
              <w:rPr>
                <w:rFonts w:ascii="Arial" w:hAnsi="Arial" w:cs="Arial"/>
                <w:b/>
                <w:sz w:val="24"/>
                <w:szCs w:val="24"/>
              </w:rPr>
            </w:pPr>
            <w:r w:rsidRPr="00CC6D5A">
              <w:rPr>
                <w:rFonts w:ascii="Arial" w:hAnsi="Arial" w:cs="Arial"/>
                <w:b/>
                <w:sz w:val="24"/>
                <w:szCs w:val="24"/>
              </w:rPr>
              <w:t>Registrado en acta #</w:t>
            </w:r>
          </w:p>
          <w:p w14:paraId="3394FF9B" w14:textId="77777777" w:rsidR="00A91CF2" w:rsidRPr="00CC6D5A" w:rsidRDefault="00A91CF2" w:rsidP="00C05773">
            <w:pPr>
              <w:spacing w:after="0" w:line="240" w:lineRule="auto"/>
              <w:rPr>
                <w:rFonts w:ascii="Arial" w:hAnsi="Arial" w:cs="Arial"/>
                <w:b/>
                <w:sz w:val="24"/>
                <w:szCs w:val="24"/>
              </w:rPr>
            </w:pPr>
          </w:p>
          <w:p w14:paraId="761EB4E6" w14:textId="77777777" w:rsidR="00A91CF2" w:rsidRPr="00CC6D5A" w:rsidRDefault="00A91CF2" w:rsidP="00C05773">
            <w:pPr>
              <w:spacing w:after="0" w:line="240" w:lineRule="auto"/>
              <w:rPr>
                <w:rFonts w:ascii="Arial" w:hAnsi="Arial" w:cs="Arial"/>
                <w:b/>
                <w:sz w:val="24"/>
                <w:szCs w:val="24"/>
              </w:rPr>
            </w:pPr>
          </w:p>
        </w:tc>
        <w:tc>
          <w:tcPr>
            <w:tcW w:w="4572" w:type="dxa"/>
            <w:gridSpan w:val="5"/>
            <w:tcBorders>
              <w:top w:val="single" w:sz="4" w:space="0" w:color="auto"/>
              <w:left w:val="single" w:sz="4" w:space="0" w:color="auto"/>
              <w:bottom w:val="single" w:sz="4" w:space="0" w:color="auto"/>
              <w:right w:val="single" w:sz="4" w:space="0" w:color="auto"/>
            </w:tcBorders>
            <w:shd w:val="clear" w:color="auto" w:fill="auto"/>
          </w:tcPr>
          <w:p w14:paraId="130EC25C" w14:textId="77777777" w:rsidR="00A91CF2" w:rsidRPr="00003AE9" w:rsidRDefault="00A91CF2" w:rsidP="00C05773">
            <w:pPr>
              <w:spacing w:after="0" w:line="240" w:lineRule="auto"/>
              <w:rPr>
                <w:rFonts w:ascii="Arial Narrow" w:hAnsi="Arial Narrow"/>
                <w:sz w:val="24"/>
                <w:szCs w:val="24"/>
              </w:rPr>
            </w:pPr>
          </w:p>
        </w:tc>
      </w:tr>
    </w:tbl>
    <w:p w14:paraId="0188C3E9" w14:textId="77777777" w:rsidR="00340E92" w:rsidRDefault="00340E92"/>
    <w:sectPr w:rsidR="00340E92" w:rsidSect="005D4174">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17E04"/>
    <w:multiLevelType w:val="hybridMultilevel"/>
    <w:tmpl w:val="F8B278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6353FB"/>
    <w:multiLevelType w:val="hybridMultilevel"/>
    <w:tmpl w:val="973C6EE2"/>
    <w:lvl w:ilvl="0" w:tplc="78EC5CE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0167717"/>
    <w:multiLevelType w:val="hybridMultilevel"/>
    <w:tmpl w:val="00DC30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55021C"/>
    <w:multiLevelType w:val="hybridMultilevel"/>
    <w:tmpl w:val="35FA23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92"/>
    <w:rsid w:val="00020DB3"/>
    <w:rsid w:val="000668EC"/>
    <w:rsid w:val="000B7FFD"/>
    <w:rsid w:val="000D1428"/>
    <w:rsid w:val="000D7EB4"/>
    <w:rsid w:val="00121148"/>
    <w:rsid w:val="002151BC"/>
    <w:rsid w:val="002378B4"/>
    <w:rsid w:val="00260EF4"/>
    <w:rsid w:val="00271DD1"/>
    <w:rsid w:val="002E5C54"/>
    <w:rsid w:val="00340E92"/>
    <w:rsid w:val="0045367F"/>
    <w:rsid w:val="004A770A"/>
    <w:rsid w:val="005008D1"/>
    <w:rsid w:val="00564973"/>
    <w:rsid w:val="005D4174"/>
    <w:rsid w:val="0062246F"/>
    <w:rsid w:val="006B2CC4"/>
    <w:rsid w:val="00855487"/>
    <w:rsid w:val="008A182C"/>
    <w:rsid w:val="008C011C"/>
    <w:rsid w:val="00947A02"/>
    <w:rsid w:val="00975984"/>
    <w:rsid w:val="00A4732A"/>
    <w:rsid w:val="00A91CF2"/>
    <w:rsid w:val="00AC3185"/>
    <w:rsid w:val="00B26430"/>
    <w:rsid w:val="00B65A8F"/>
    <w:rsid w:val="00D15B21"/>
    <w:rsid w:val="00D43776"/>
    <w:rsid w:val="00D503B8"/>
    <w:rsid w:val="00DC297E"/>
    <w:rsid w:val="00DD1DCF"/>
    <w:rsid w:val="00E57363"/>
    <w:rsid w:val="00E67E03"/>
    <w:rsid w:val="00E80B6D"/>
    <w:rsid w:val="00E82163"/>
    <w:rsid w:val="34B7084C"/>
    <w:rsid w:val="4C47C5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F60A"/>
  <w15:chartTrackingRefBased/>
  <w15:docId w15:val="{850DB7CF-D95C-419A-86DF-EFE67A04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A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91CF2"/>
    <w:pPr>
      <w:autoSpaceDE w:val="0"/>
      <w:autoSpaceDN w:val="0"/>
      <w:adjustRightInd w:val="0"/>
      <w:spacing w:after="0" w:line="240" w:lineRule="auto"/>
    </w:pPr>
    <w:rPr>
      <w:rFonts w:ascii="Arial" w:eastAsia="Calibri" w:hAnsi="Arial" w:cs="Arial"/>
      <w:color w:val="000000"/>
      <w:sz w:val="24"/>
      <w:szCs w:val="24"/>
      <w:lang w:val="es-ES_tradnl" w:eastAsia="es-ES_tradnl"/>
    </w:rPr>
  </w:style>
  <w:style w:type="paragraph" w:styleId="Prrafodelista">
    <w:name w:val="List Paragraph"/>
    <w:basedOn w:val="Normal"/>
    <w:uiPriority w:val="34"/>
    <w:qFormat/>
    <w:rsid w:val="00A91CF2"/>
    <w:pPr>
      <w:spacing w:after="200" w:line="276" w:lineRule="auto"/>
      <w:ind w:left="708"/>
    </w:pPr>
    <w:rPr>
      <w:rFonts w:ascii="Calibri" w:eastAsia="Calibri" w:hAnsi="Calibri" w:cs="Times New Roman"/>
      <w:lang w:val="es-MX"/>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EDF1A53EEF141852504B22F8EE2A8" ma:contentTypeVersion="10" ma:contentTypeDescription="Create a new document." ma:contentTypeScope="" ma:versionID="fc8c31c75aec84651c8f4ccef5818a8e">
  <xsd:schema xmlns:xsd="http://www.w3.org/2001/XMLSchema" xmlns:xs="http://www.w3.org/2001/XMLSchema" xmlns:p="http://schemas.microsoft.com/office/2006/metadata/properties" xmlns:ns2="154d1be1-2731-4ce2-adcb-50ac29c81f07" xmlns:ns3="523ac9cb-c2b6-4085-837b-88992a33496c" targetNamespace="http://schemas.microsoft.com/office/2006/metadata/properties" ma:root="true" ma:fieldsID="0a3685c3ef5e91859db1dc722855ed4e" ns2:_="" ns3:_="">
    <xsd:import namespace="154d1be1-2731-4ce2-adcb-50ac29c81f07"/>
    <xsd:import namespace="523ac9cb-c2b6-4085-837b-88992a33496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d1be1-2731-4ce2-adcb-50ac29c81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6b894b-4384-411f-b428-ee7e066c48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3ac9cb-c2b6-4085-837b-88992a33496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5188ac7-47de-4a4d-8031-cd96f7e12864}" ma:internalName="TaxCatchAll" ma:showField="CatchAllData" ma:web="523ac9cb-c2b6-4085-837b-88992a3349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4d1be1-2731-4ce2-adcb-50ac29c81f07">
      <Terms xmlns="http://schemas.microsoft.com/office/infopath/2007/PartnerControls"/>
    </lcf76f155ced4ddcb4097134ff3c332f>
    <TaxCatchAll xmlns="523ac9cb-c2b6-4085-837b-88992a3349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F06A5-84C1-467B-A599-42BA6704D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d1be1-2731-4ce2-adcb-50ac29c81f07"/>
    <ds:schemaRef ds:uri="523ac9cb-c2b6-4085-837b-88992a334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948D4-F0CC-4569-A92D-1077F89C7EBF}">
  <ds:schemaRefs>
    <ds:schemaRef ds:uri="http://schemas.microsoft.com/office/2006/metadata/properties"/>
    <ds:schemaRef ds:uri="http://schemas.microsoft.com/office/infopath/2007/PartnerControls"/>
    <ds:schemaRef ds:uri="154d1be1-2731-4ce2-adcb-50ac29c81f07"/>
    <ds:schemaRef ds:uri="523ac9cb-c2b6-4085-837b-88992a33496c"/>
  </ds:schemaRefs>
</ds:datastoreItem>
</file>

<file path=customXml/itemProps3.xml><?xml version="1.0" encoding="utf-8"?>
<ds:datastoreItem xmlns:ds="http://schemas.openxmlformats.org/officeDocument/2006/customXml" ds:itemID="{E8485B45-DE13-4DBD-8C0C-6567A0F64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4255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E. Bejarano G.</dc:creator>
  <cp:keywords/>
  <dc:description/>
  <cp:lastModifiedBy>User</cp:lastModifiedBy>
  <cp:revision>2</cp:revision>
  <dcterms:created xsi:type="dcterms:W3CDTF">2023-08-30T21:36:00Z</dcterms:created>
  <dcterms:modified xsi:type="dcterms:W3CDTF">2023-08-30T21:36:00Z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0x010100735EDF1A53EEF141852504B22F8EE2A8</vt:lpwstr>
  </property>
  <property fmtid="{D5CDD505-2E9C-101B-9397-08002B2CF9AE}" pid="3" name="MediaServiceImageTags">
    <vt:lpwstr/>
  </property>
</Properties>
</file>